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410"/>
        <w:gridCol w:w="2551"/>
      </w:tblGrid>
      <w:tr w:rsidR="00334272" w:rsidRPr="009E2B84" w:rsidTr="00BF08B6">
        <w:trPr>
          <w:gridAfter w:val="1"/>
          <w:wAfter w:w="2551" w:type="dxa"/>
          <w:cantSplit/>
          <w:trHeight w:val="569"/>
        </w:trPr>
        <w:tc>
          <w:tcPr>
            <w:tcW w:w="4928" w:type="dxa"/>
            <w:shd w:val="clear" w:color="auto" w:fill="BFBFBF"/>
            <w:vAlign w:val="center"/>
          </w:tcPr>
          <w:p w:rsidR="00334272" w:rsidRPr="009E2B84" w:rsidRDefault="00334272" w:rsidP="00BF08B6">
            <w:pPr>
              <w:keepNext/>
              <w:shd w:val="clear" w:color="auto" w:fill="BFBFBF"/>
              <w:jc w:val="center"/>
              <w:outlineLvl w:val="0"/>
              <w:rPr>
                <w:b/>
              </w:rPr>
            </w:pPr>
            <w:bookmarkStart w:id="0" w:name="_GoBack"/>
            <w:bookmarkEnd w:id="0"/>
            <w:r>
              <w:rPr>
                <w:noProof/>
              </w:rPr>
              <w:drawing>
                <wp:anchor distT="0" distB="0" distL="114300" distR="114300" simplePos="0" relativeHeight="251659264" behindDoc="1" locked="0" layoutInCell="0" allowOverlap="1">
                  <wp:simplePos x="0" y="0"/>
                  <wp:positionH relativeFrom="column">
                    <wp:posOffset>4766310</wp:posOffset>
                  </wp:positionH>
                  <wp:positionV relativeFrom="paragraph">
                    <wp:posOffset>-80010</wp:posOffset>
                  </wp:positionV>
                  <wp:extent cx="1330960" cy="110553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410" w:type="dxa"/>
            <w:shd w:val="clear" w:color="auto" w:fill="BFBFBF"/>
            <w:vAlign w:val="center"/>
          </w:tcPr>
          <w:p w:rsidR="00334272" w:rsidRPr="009E2B84" w:rsidRDefault="00334272" w:rsidP="00BF08B6">
            <w:pPr>
              <w:jc w:val="center"/>
              <w:rPr>
                <w:b/>
              </w:rPr>
            </w:pPr>
            <w:r w:rsidRPr="009E2B84">
              <w:rPr>
                <w:b/>
              </w:rPr>
              <w:t>ON</w:t>
            </w:r>
          </w:p>
        </w:tc>
      </w:tr>
      <w:tr w:rsidR="00334272" w:rsidRPr="009E2B84" w:rsidTr="00C44EBE">
        <w:trPr>
          <w:gridAfter w:val="1"/>
          <w:wAfter w:w="2551" w:type="dxa"/>
          <w:cantSplit/>
          <w:trHeight w:val="820"/>
        </w:trPr>
        <w:tc>
          <w:tcPr>
            <w:tcW w:w="4928" w:type="dxa"/>
            <w:tcBorders>
              <w:bottom w:val="nil"/>
            </w:tcBorders>
            <w:vAlign w:val="center"/>
          </w:tcPr>
          <w:p w:rsidR="00334272" w:rsidRPr="009E2B84" w:rsidRDefault="00334272" w:rsidP="00BF08B6">
            <w:pPr>
              <w:jc w:val="center"/>
              <w:rPr>
                <w:b/>
                <w:sz w:val="24"/>
                <w:szCs w:val="24"/>
              </w:rPr>
            </w:pPr>
            <w:r>
              <w:rPr>
                <w:b/>
                <w:sz w:val="24"/>
                <w:szCs w:val="24"/>
              </w:rPr>
              <w:t xml:space="preserve">CABINET </w:t>
            </w:r>
          </w:p>
        </w:tc>
        <w:tc>
          <w:tcPr>
            <w:tcW w:w="2410" w:type="dxa"/>
            <w:tcBorders>
              <w:bottom w:val="nil"/>
            </w:tcBorders>
            <w:vAlign w:val="center"/>
          </w:tcPr>
          <w:p w:rsidR="00334272" w:rsidRPr="007525EC" w:rsidRDefault="00334272" w:rsidP="00BF08B6">
            <w:pPr>
              <w:jc w:val="center"/>
              <w:rPr>
                <w:i/>
                <w:color w:val="2E74B5"/>
              </w:rPr>
            </w:pPr>
            <w:r w:rsidRPr="007525EC">
              <w:t>11 April 2018</w:t>
            </w:r>
          </w:p>
        </w:tc>
      </w:tr>
      <w:tr w:rsidR="00334272" w:rsidRPr="009E2B84" w:rsidTr="00BF08B6">
        <w:trPr>
          <w:gridAfter w:val="1"/>
          <w:wAfter w:w="2551" w:type="dxa"/>
          <w:cantSplit/>
          <w:trHeight w:val="265"/>
        </w:trPr>
        <w:tc>
          <w:tcPr>
            <w:tcW w:w="7338" w:type="dxa"/>
            <w:gridSpan w:val="2"/>
            <w:tcBorders>
              <w:left w:val="nil"/>
              <w:right w:val="nil"/>
            </w:tcBorders>
          </w:tcPr>
          <w:p w:rsidR="00334272" w:rsidRPr="00981605" w:rsidRDefault="00334272" w:rsidP="00BF08B6">
            <w:pPr>
              <w:ind w:hanging="142"/>
              <w:jc w:val="right"/>
              <w:rPr>
                <w:sz w:val="8"/>
              </w:rPr>
            </w:pPr>
            <w:r>
              <w:rPr>
                <w:sz w:val="8"/>
              </w:rPr>
              <w:t xml:space="preserve">September </w:t>
            </w:r>
            <w:r w:rsidRPr="009E2B84">
              <w:rPr>
                <w:sz w:val="8"/>
              </w:rPr>
              <w:t>2017</w:t>
            </w:r>
          </w:p>
        </w:tc>
      </w:tr>
      <w:tr w:rsidR="00334272" w:rsidRPr="009E2B84" w:rsidTr="00BF08B6">
        <w:trPr>
          <w:cantSplit/>
        </w:trPr>
        <w:tc>
          <w:tcPr>
            <w:tcW w:w="4928" w:type="dxa"/>
            <w:shd w:val="clear" w:color="auto" w:fill="BFBFBF"/>
            <w:vAlign w:val="center"/>
          </w:tcPr>
          <w:p w:rsidR="00334272" w:rsidRPr="009E2B84" w:rsidRDefault="00334272" w:rsidP="00BF08B6">
            <w:pPr>
              <w:jc w:val="center"/>
              <w:rPr>
                <w:b/>
              </w:rPr>
            </w:pPr>
            <w:r w:rsidRPr="009E2B84">
              <w:rPr>
                <w:b/>
              </w:rPr>
              <w:t>TITLE</w:t>
            </w:r>
          </w:p>
        </w:tc>
        <w:tc>
          <w:tcPr>
            <w:tcW w:w="2410" w:type="dxa"/>
            <w:shd w:val="clear" w:color="auto" w:fill="BFBFBF"/>
            <w:vAlign w:val="center"/>
          </w:tcPr>
          <w:p w:rsidR="00334272" w:rsidRPr="009E2B84" w:rsidRDefault="00334272" w:rsidP="00BF08B6">
            <w:pPr>
              <w:jc w:val="center"/>
              <w:rPr>
                <w:b/>
              </w:rPr>
            </w:pPr>
            <w:r w:rsidRPr="009E2B84">
              <w:rPr>
                <w:b/>
              </w:rPr>
              <w:t>PORTFOLIO</w:t>
            </w:r>
          </w:p>
        </w:tc>
        <w:tc>
          <w:tcPr>
            <w:tcW w:w="2551" w:type="dxa"/>
            <w:shd w:val="clear" w:color="auto" w:fill="BFBFBF"/>
            <w:vAlign w:val="center"/>
          </w:tcPr>
          <w:p w:rsidR="00334272" w:rsidRPr="009E2B84" w:rsidRDefault="00334272" w:rsidP="00BF08B6">
            <w:pPr>
              <w:jc w:val="center"/>
              <w:rPr>
                <w:b/>
              </w:rPr>
            </w:pPr>
            <w:r>
              <w:rPr>
                <w:b/>
              </w:rPr>
              <w:t>REPORT OF</w:t>
            </w:r>
          </w:p>
        </w:tc>
      </w:tr>
      <w:tr w:rsidR="00334272" w:rsidRPr="009E2B84" w:rsidTr="00BF08B6">
        <w:trPr>
          <w:cantSplit/>
          <w:trHeight w:val="667"/>
        </w:trPr>
        <w:tc>
          <w:tcPr>
            <w:tcW w:w="4928" w:type="dxa"/>
            <w:vAlign w:val="center"/>
          </w:tcPr>
          <w:p w:rsidR="00334272" w:rsidRPr="009E2B84" w:rsidRDefault="00334272" w:rsidP="00BF08B6">
            <w:pPr>
              <w:rPr>
                <w:b/>
              </w:rPr>
            </w:pPr>
          </w:p>
          <w:p w:rsidR="00334272" w:rsidRPr="007525EC" w:rsidRDefault="00334272" w:rsidP="00BF08B6">
            <w:pPr>
              <w:rPr>
                <w:b/>
              </w:rPr>
            </w:pPr>
            <w:r w:rsidRPr="007525EC">
              <w:rPr>
                <w:b/>
              </w:rPr>
              <w:t>My Neighbourhood Approach - 2018/19</w:t>
            </w:r>
          </w:p>
          <w:p w:rsidR="00334272" w:rsidRPr="009E2B84" w:rsidRDefault="00334272" w:rsidP="00BF08B6">
            <w:pPr>
              <w:rPr>
                <w:b/>
              </w:rPr>
            </w:pPr>
          </w:p>
        </w:tc>
        <w:tc>
          <w:tcPr>
            <w:tcW w:w="2410" w:type="dxa"/>
            <w:vAlign w:val="center"/>
          </w:tcPr>
          <w:p w:rsidR="00334272" w:rsidRPr="007525EC" w:rsidRDefault="00334272" w:rsidP="00BF08B6">
            <w:pPr>
              <w:jc w:val="center"/>
              <w:rPr>
                <w:b/>
              </w:rPr>
            </w:pPr>
            <w:r w:rsidRPr="007525EC">
              <w:rPr>
                <w:b/>
              </w:rPr>
              <w:t>Regeneration &amp; Leisure</w:t>
            </w:r>
          </w:p>
        </w:tc>
        <w:tc>
          <w:tcPr>
            <w:tcW w:w="2551" w:type="dxa"/>
            <w:vAlign w:val="center"/>
          </w:tcPr>
          <w:p w:rsidR="00334272" w:rsidRPr="007525EC" w:rsidRDefault="00D10FFE" w:rsidP="00BF08B6">
            <w:pPr>
              <w:jc w:val="center"/>
              <w:rPr>
                <w:b/>
              </w:rPr>
            </w:pPr>
            <w:r>
              <w:rPr>
                <w:b/>
              </w:rPr>
              <w:t>Director of Planning &amp; Property</w:t>
            </w:r>
          </w:p>
        </w:tc>
      </w:tr>
    </w:tbl>
    <w:p w:rsidR="00334272" w:rsidRPr="00981605" w:rsidRDefault="00334272" w:rsidP="00334272">
      <w:pPr>
        <w:rPr>
          <w:sz w:val="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1163"/>
      </w:tblGrid>
      <w:tr w:rsidR="00334272" w:rsidRPr="009C1143" w:rsidTr="00BF08B6">
        <w:tc>
          <w:tcPr>
            <w:tcW w:w="9918" w:type="dxa"/>
            <w:gridSpan w:val="2"/>
            <w:tcBorders>
              <w:top w:val="nil"/>
              <w:left w:val="nil"/>
              <w:right w:val="nil"/>
            </w:tcBorders>
            <w:shd w:val="clear" w:color="auto" w:fill="auto"/>
          </w:tcPr>
          <w:p w:rsidR="00334272" w:rsidRPr="009C1143" w:rsidRDefault="00334272" w:rsidP="00BF08B6">
            <w:pPr>
              <w:tabs>
                <w:tab w:val="left" w:pos="1055"/>
              </w:tabs>
              <w:rPr>
                <w:i/>
                <w:color w:val="2E74B5"/>
                <w:szCs w:val="22"/>
              </w:rPr>
            </w:pPr>
          </w:p>
        </w:tc>
      </w:tr>
      <w:tr w:rsidR="00334272" w:rsidRPr="009C1143" w:rsidTr="00BF08B6">
        <w:tc>
          <w:tcPr>
            <w:tcW w:w="8755" w:type="dxa"/>
            <w:shd w:val="clear" w:color="auto" w:fill="auto"/>
          </w:tcPr>
          <w:p w:rsidR="00334272" w:rsidRDefault="00334272" w:rsidP="00BF08B6">
            <w:pPr>
              <w:rPr>
                <w:szCs w:val="22"/>
              </w:rPr>
            </w:pPr>
            <w:r w:rsidRPr="009C1143">
              <w:rPr>
                <w:szCs w:val="22"/>
              </w:rPr>
              <w:t xml:space="preserve">Is this report a </w:t>
            </w:r>
            <w:r w:rsidRPr="009C1143">
              <w:rPr>
                <w:b/>
                <w:szCs w:val="22"/>
              </w:rPr>
              <w:t>KEY DECISION</w:t>
            </w:r>
            <w:r>
              <w:rPr>
                <w:szCs w:val="22"/>
              </w:rPr>
              <w:t>?</w:t>
            </w:r>
          </w:p>
          <w:p w:rsidR="00334272" w:rsidRPr="009C1143" w:rsidRDefault="00334272" w:rsidP="00BF08B6">
            <w:pPr>
              <w:rPr>
                <w:szCs w:val="22"/>
              </w:rPr>
            </w:pPr>
          </w:p>
          <w:p w:rsidR="00334272" w:rsidRPr="009C1143" w:rsidRDefault="00334272" w:rsidP="00BF08B6">
            <w:pPr>
              <w:rPr>
                <w:szCs w:val="22"/>
              </w:rPr>
            </w:pPr>
            <w:r w:rsidRPr="009C1143">
              <w:rPr>
                <w:szCs w:val="22"/>
              </w:rPr>
              <w:t xml:space="preserve">Is this report on the </w:t>
            </w:r>
            <w:r>
              <w:rPr>
                <w:b/>
                <w:szCs w:val="22"/>
              </w:rPr>
              <w:t xml:space="preserve">Statutory </w:t>
            </w:r>
            <w:r w:rsidRPr="009C1143">
              <w:rPr>
                <w:b/>
                <w:szCs w:val="22"/>
              </w:rPr>
              <w:t>Cabinet Forward Plan</w:t>
            </w:r>
            <w:r w:rsidRPr="009C1143">
              <w:rPr>
                <w:szCs w:val="22"/>
              </w:rPr>
              <w:t>?</w:t>
            </w:r>
          </w:p>
          <w:p w:rsidR="00334272" w:rsidRPr="009C1143" w:rsidRDefault="00334272" w:rsidP="00BF08B6">
            <w:pPr>
              <w:rPr>
                <w:szCs w:val="22"/>
              </w:rPr>
            </w:pPr>
          </w:p>
          <w:p w:rsidR="00334272" w:rsidRDefault="00334272" w:rsidP="00BF08B6">
            <w:pPr>
              <w:rPr>
                <w:szCs w:val="22"/>
              </w:rPr>
            </w:pPr>
            <w:r w:rsidRPr="009C1143">
              <w:rPr>
                <w:szCs w:val="22"/>
              </w:rPr>
              <w:t xml:space="preserve">Is the request outside the policy and budgetary framework and therefore subject to confirmation at full Council? </w:t>
            </w:r>
          </w:p>
          <w:p w:rsidR="00334272" w:rsidRDefault="00334272" w:rsidP="00BF08B6">
            <w:pPr>
              <w:rPr>
                <w:szCs w:val="22"/>
              </w:rPr>
            </w:pPr>
          </w:p>
          <w:p w:rsidR="00334272" w:rsidRPr="009C1143" w:rsidRDefault="00334272" w:rsidP="00BF08B6">
            <w:pPr>
              <w:rPr>
                <w:szCs w:val="22"/>
              </w:rPr>
            </w:pPr>
            <w:r>
              <w:rPr>
                <w:szCs w:val="22"/>
              </w:rPr>
              <w:t>Is this report confidential?</w:t>
            </w:r>
          </w:p>
        </w:tc>
        <w:tc>
          <w:tcPr>
            <w:tcW w:w="1163" w:type="dxa"/>
            <w:shd w:val="clear" w:color="auto" w:fill="auto"/>
          </w:tcPr>
          <w:p w:rsidR="00334272" w:rsidRPr="00F3057A" w:rsidRDefault="00334272" w:rsidP="00BF08B6">
            <w:pPr>
              <w:rPr>
                <w:b/>
                <w:szCs w:val="22"/>
              </w:rPr>
            </w:pPr>
            <w:r w:rsidRPr="00F3057A">
              <w:rPr>
                <w:b/>
                <w:szCs w:val="22"/>
              </w:rPr>
              <w:t xml:space="preserve">Yes   </w:t>
            </w:r>
          </w:p>
          <w:p w:rsidR="00334272" w:rsidRDefault="00334272" w:rsidP="00BF08B6">
            <w:pPr>
              <w:rPr>
                <w:szCs w:val="22"/>
              </w:rPr>
            </w:pPr>
          </w:p>
          <w:p w:rsidR="00334272" w:rsidRDefault="00334272" w:rsidP="00BF08B6">
            <w:pPr>
              <w:rPr>
                <w:b/>
                <w:szCs w:val="22"/>
              </w:rPr>
            </w:pPr>
            <w:r>
              <w:rPr>
                <w:b/>
                <w:szCs w:val="22"/>
              </w:rPr>
              <w:t xml:space="preserve">Yes  </w:t>
            </w:r>
          </w:p>
          <w:p w:rsidR="00334272" w:rsidRDefault="00334272" w:rsidP="00BF08B6">
            <w:pPr>
              <w:rPr>
                <w:b/>
                <w:szCs w:val="22"/>
              </w:rPr>
            </w:pPr>
          </w:p>
          <w:p w:rsidR="00334272" w:rsidRDefault="00334272" w:rsidP="00BF08B6">
            <w:pPr>
              <w:rPr>
                <w:b/>
                <w:szCs w:val="22"/>
              </w:rPr>
            </w:pPr>
            <w:r w:rsidRPr="00F3057A">
              <w:rPr>
                <w:b/>
                <w:szCs w:val="22"/>
              </w:rPr>
              <w:t>No</w:t>
            </w:r>
          </w:p>
          <w:p w:rsidR="00334272" w:rsidRDefault="00334272" w:rsidP="00BF08B6">
            <w:pPr>
              <w:rPr>
                <w:b/>
                <w:szCs w:val="22"/>
              </w:rPr>
            </w:pPr>
          </w:p>
          <w:p w:rsidR="00334272" w:rsidRDefault="00334272" w:rsidP="00BF08B6">
            <w:pPr>
              <w:rPr>
                <w:b/>
                <w:szCs w:val="22"/>
              </w:rPr>
            </w:pPr>
          </w:p>
          <w:p w:rsidR="00334272" w:rsidRPr="009C1143" w:rsidRDefault="00334272" w:rsidP="00BF08B6">
            <w:pPr>
              <w:rPr>
                <w:szCs w:val="22"/>
              </w:rPr>
            </w:pPr>
            <w:r>
              <w:rPr>
                <w:b/>
                <w:szCs w:val="22"/>
              </w:rPr>
              <w:t>No</w:t>
            </w:r>
          </w:p>
        </w:tc>
      </w:tr>
    </w:tbl>
    <w:p w:rsidR="00334272" w:rsidRPr="009C1143" w:rsidRDefault="00334272" w:rsidP="00334272">
      <w:pPr>
        <w:rPr>
          <w:sz w:val="16"/>
          <w:szCs w:val="16"/>
        </w:rPr>
      </w:pPr>
    </w:p>
    <w:p w:rsidR="00334272" w:rsidRPr="009C1143" w:rsidRDefault="00334272" w:rsidP="00334272">
      <w:pPr>
        <w:rPr>
          <w:color w:val="000000"/>
          <w:szCs w:val="22"/>
        </w:rPr>
      </w:pPr>
    </w:p>
    <w:p w:rsidR="00334272" w:rsidRDefault="00334272" w:rsidP="00334272">
      <w:pPr>
        <w:keepNext/>
        <w:numPr>
          <w:ilvl w:val="0"/>
          <w:numId w:val="1"/>
        </w:numPr>
        <w:ind w:left="284" w:hanging="426"/>
        <w:outlineLvl w:val="0"/>
        <w:rPr>
          <w:b/>
          <w:szCs w:val="22"/>
        </w:rPr>
      </w:pPr>
      <w:r w:rsidRPr="009C1143">
        <w:rPr>
          <w:b/>
          <w:szCs w:val="22"/>
        </w:rPr>
        <w:t xml:space="preserve">PURPOSE OF THE REPORT </w:t>
      </w:r>
    </w:p>
    <w:p w:rsidR="00334272" w:rsidRDefault="00334272" w:rsidP="00334272">
      <w:pPr>
        <w:keepNext/>
        <w:ind w:left="284" w:hanging="426"/>
        <w:outlineLvl w:val="0"/>
        <w:rPr>
          <w:b/>
          <w:szCs w:val="22"/>
        </w:rPr>
      </w:pPr>
    </w:p>
    <w:p w:rsidR="00334272" w:rsidRPr="00CF57AD" w:rsidRDefault="00334272" w:rsidP="00334272">
      <w:pPr>
        <w:keepNext/>
        <w:numPr>
          <w:ilvl w:val="1"/>
          <w:numId w:val="1"/>
        </w:numPr>
        <w:ind w:left="284" w:hanging="426"/>
        <w:outlineLvl w:val="0"/>
        <w:rPr>
          <w:szCs w:val="22"/>
        </w:rPr>
      </w:pPr>
      <w:r w:rsidRPr="00CF57AD">
        <w:rPr>
          <w:szCs w:val="22"/>
        </w:rPr>
        <w:t>To seek Cabinet approval of 2018/19 Neighbourhood Plans</w:t>
      </w:r>
      <w:r>
        <w:rPr>
          <w:szCs w:val="22"/>
        </w:rPr>
        <w:t>.</w:t>
      </w:r>
    </w:p>
    <w:p w:rsidR="00334272" w:rsidRDefault="00334272" w:rsidP="00334272">
      <w:pPr>
        <w:keepNext/>
        <w:ind w:left="284" w:hanging="426"/>
        <w:outlineLvl w:val="0"/>
        <w:rPr>
          <w:b/>
          <w:szCs w:val="22"/>
        </w:rPr>
      </w:pPr>
    </w:p>
    <w:p w:rsidR="00334272" w:rsidRPr="00CF57AD" w:rsidRDefault="00334272" w:rsidP="00334272">
      <w:pPr>
        <w:keepNext/>
        <w:numPr>
          <w:ilvl w:val="1"/>
          <w:numId w:val="1"/>
        </w:numPr>
        <w:ind w:left="284" w:hanging="426"/>
        <w:outlineLvl w:val="0"/>
        <w:rPr>
          <w:szCs w:val="22"/>
        </w:rPr>
      </w:pPr>
      <w:r w:rsidRPr="00CF57AD">
        <w:rPr>
          <w:szCs w:val="22"/>
        </w:rPr>
        <w:t>To update Cabinet on developments in the Council’s My Neighbourhood approach</w:t>
      </w:r>
    </w:p>
    <w:p w:rsidR="00334272" w:rsidRPr="009C1143" w:rsidRDefault="00334272" w:rsidP="00334272">
      <w:pPr>
        <w:keepNext/>
        <w:ind w:left="284" w:hanging="426"/>
        <w:outlineLvl w:val="0"/>
        <w:rPr>
          <w:i/>
          <w:color w:val="2E74B5"/>
          <w:szCs w:val="22"/>
        </w:rPr>
      </w:pPr>
    </w:p>
    <w:p w:rsidR="00334272" w:rsidRPr="009C1143" w:rsidRDefault="00334272" w:rsidP="00334272">
      <w:pPr>
        <w:ind w:left="284" w:hanging="426"/>
        <w:rPr>
          <w:szCs w:val="22"/>
        </w:rPr>
      </w:pPr>
    </w:p>
    <w:p w:rsidR="00334272" w:rsidRDefault="00334272" w:rsidP="00334272">
      <w:pPr>
        <w:keepNext/>
        <w:numPr>
          <w:ilvl w:val="0"/>
          <w:numId w:val="1"/>
        </w:numPr>
        <w:ind w:left="284" w:hanging="426"/>
        <w:outlineLvl w:val="0"/>
        <w:rPr>
          <w:b/>
          <w:szCs w:val="22"/>
        </w:rPr>
      </w:pPr>
      <w:r>
        <w:rPr>
          <w:b/>
          <w:szCs w:val="22"/>
        </w:rPr>
        <w:t xml:space="preserve">PORTFOLIO </w:t>
      </w:r>
      <w:r w:rsidRPr="009C1143">
        <w:rPr>
          <w:b/>
          <w:szCs w:val="22"/>
        </w:rPr>
        <w:t>RECOMMENDATIONS</w:t>
      </w:r>
    </w:p>
    <w:p w:rsidR="00334272" w:rsidRDefault="00334272" w:rsidP="00334272">
      <w:pPr>
        <w:keepNext/>
        <w:ind w:left="284" w:hanging="426"/>
        <w:outlineLvl w:val="0"/>
        <w:rPr>
          <w:b/>
          <w:szCs w:val="22"/>
        </w:rPr>
      </w:pPr>
    </w:p>
    <w:p w:rsidR="00334272" w:rsidRPr="00D10FFE" w:rsidRDefault="00334272" w:rsidP="00334272">
      <w:pPr>
        <w:numPr>
          <w:ilvl w:val="1"/>
          <w:numId w:val="1"/>
        </w:numPr>
        <w:ind w:left="284" w:hanging="426"/>
        <w:rPr>
          <w:szCs w:val="22"/>
        </w:rPr>
      </w:pPr>
      <w:r w:rsidRPr="00D10FFE">
        <w:rPr>
          <w:szCs w:val="22"/>
        </w:rPr>
        <w:t>That Cabinet approves 2018/19 Neighbourhood Plans.</w:t>
      </w:r>
    </w:p>
    <w:p w:rsidR="00334272" w:rsidRPr="000B35E9" w:rsidRDefault="00334272" w:rsidP="00334272">
      <w:pPr>
        <w:keepNext/>
        <w:ind w:left="284" w:hanging="426"/>
        <w:outlineLvl w:val="0"/>
        <w:rPr>
          <w:i/>
          <w:color w:val="808080"/>
          <w:szCs w:val="22"/>
        </w:rPr>
      </w:pPr>
    </w:p>
    <w:p w:rsidR="00334272" w:rsidRPr="009C1143" w:rsidRDefault="00334272" w:rsidP="00334272">
      <w:pPr>
        <w:ind w:left="284" w:hanging="426"/>
        <w:rPr>
          <w:i/>
          <w:color w:val="2E74B5"/>
          <w:szCs w:val="22"/>
        </w:rPr>
      </w:pPr>
    </w:p>
    <w:p w:rsidR="00334272" w:rsidRDefault="00334272" w:rsidP="00334272">
      <w:pPr>
        <w:keepNext/>
        <w:numPr>
          <w:ilvl w:val="0"/>
          <w:numId w:val="1"/>
        </w:numPr>
        <w:ind w:left="284" w:hanging="426"/>
        <w:outlineLvl w:val="0"/>
        <w:rPr>
          <w:b/>
          <w:szCs w:val="22"/>
        </w:rPr>
      </w:pPr>
      <w:r w:rsidRPr="008C04DA">
        <w:rPr>
          <w:b/>
          <w:szCs w:val="22"/>
        </w:rPr>
        <w:t>CORPORATE PRIORITIES</w:t>
      </w:r>
    </w:p>
    <w:p w:rsidR="00334272" w:rsidRDefault="00334272" w:rsidP="00334272">
      <w:pPr>
        <w:keepNext/>
        <w:ind w:left="284" w:hanging="426"/>
        <w:outlineLvl w:val="0"/>
        <w:rPr>
          <w:szCs w:val="22"/>
        </w:rPr>
      </w:pPr>
      <w:r w:rsidRPr="008C04DA">
        <w:rPr>
          <w:szCs w:val="22"/>
        </w:rPr>
        <w:t>The report relates to the following corporate priorities</w:t>
      </w:r>
    </w:p>
    <w:p w:rsidR="004D44B5" w:rsidRDefault="004D44B5" w:rsidP="00334272">
      <w:pPr>
        <w:keepNext/>
        <w:ind w:left="284" w:hanging="426"/>
        <w:outlineLvl w:val="0"/>
        <w:rPr>
          <w:szCs w:val="22"/>
        </w:rPr>
      </w:pPr>
    </w:p>
    <w:tbl>
      <w:tblPr>
        <w:tblW w:w="5273" w:type="dxa"/>
        <w:tblInd w:w="534" w:type="dxa"/>
        <w:tblCellMar>
          <w:left w:w="0" w:type="dxa"/>
          <w:right w:w="0" w:type="dxa"/>
        </w:tblCellMar>
        <w:tblLook w:val="04A0" w:firstRow="1" w:lastRow="0" w:firstColumn="1" w:lastColumn="0" w:noHBand="0" w:noVBand="1"/>
      </w:tblPr>
      <w:tblGrid>
        <w:gridCol w:w="4423"/>
        <w:gridCol w:w="850"/>
      </w:tblGrid>
      <w:tr w:rsidR="004D44B5" w:rsidTr="004D44B5">
        <w:trPr>
          <w:trHeight w:val="395"/>
        </w:trPr>
        <w:tc>
          <w:tcPr>
            <w:tcW w:w="44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D44B5" w:rsidRDefault="004D44B5" w:rsidP="004D44B5">
            <w:r>
              <w:t>Excellence and Financial Sustainability</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D44B5" w:rsidRDefault="004D44B5" w:rsidP="004D44B5">
            <w:pPr>
              <w:jc w:val="center"/>
              <w:rPr>
                <w:highlight w:val="yellow"/>
              </w:rPr>
            </w:pPr>
            <w:r w:rsidRPr="00CF57AD">
              <w:rPr>
                <w:sz w:val="40"/>
                <w:szCs w:val="22"/>
              </w:rPr>
              <w:sym w:font="Wingdings" w:char="F0FC"/>
            </w:r>
          </w:p>
        </w:tc>
      </w:tr>
      <w:tr w:rsidR="004D44B5" w:rsidTr="004D44B5">
        <w:tc>
          <w:tcPr>
            <w:tcW w:w="44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D44B5" w:rsidRDefault="004D44B5" w:rsidP="004D44B5">
            <w:r>
              <w:t>Health and Wellbeing</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4D44B5" w:rsidRDefault="004D44B5" w:rsidP="004D44B5">
            <w:pPr>
              <w:jc w:val="center"/>
              <w:rPr>
                <w:highlight w:val="yellow"/>
              </w:rPr>
            </w:pPr>
            <w:r w:rsidRPr="00CF57AD">
              <w:rPr>
                <w:sz w:val="40"/>
                <w:szCs w:val="22"/>
              </w:rPr>
              <w:sym w:font="Wingdings" w:char="F0FC"/>
            </w:r>
          </w:p>
        </w:tc>
      </w:tr>
      <w:tr w:rsidR="004D44B5" w:rsidTr="004D44B5">
        <w:tc>
          <w:tcPr>
            <w:tcW w:w="44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D44B5" w:rsidRDefault="004D44B5" w:rsidP="004D44B5">
            <w:r>
              <w:t>Place</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4D44B5" w:rsidRDefault="004D44B5" w:rsidP="004D44B5">
            <w:pPr>
              <w:jc w:val="center"/>
            </w:pPr>
            <w:r w:rsidRPr="00CF57AD">
              <w:rPr>
                <w:sz w:val="40"/>
                <w:szCs w:val="22"/>
              </w:rPr>
              <w:sym w:font="Wingdings" w:char="F0FC"/>
            </w:r>
          </w:p>
        </w:tc>
      </w:tr>
    </w:tbl>
    <w:p w:rsidR="004D44B5" w:rsidRDefault="004D44B5" w:rsidP="004D44B5">
      <w:pPr>
        <w:rPr>
          <w:rFonts w:eastAsiaTheme="minorHAnsi" w:cs="Arial"/>
          <w:szCs w:val="22"/>
          <w:lang w:eastAsia="en-US"/>
        </w:rPr>
      </w:pPr>
    </w:p>
    <w:p w:rsidR="004D44B5" w:rsidRDefault="004D44B5" w:rsidP="00334272">
      <w:pPr>
        <w:keepNext/>
        <w:ind w:left="284" w:hanging="426"/>
        <w:outlineLvl w:val="0"/>
        <w:rPr>
          <w:szCs w:val="22"/>
        </w:rPr>
      </w:pPr>
    </w:p>
    <w:p w:rsidR="00334272" w:rsidRDefault="00334272" w:rsidP="00447CA5">
      <w:pPr>
        <w:keepNext/>
        <w:numPr>
          <w:ilvl w:val="0"/>
          <w:numId w:val="1"/>
        </w:numPr>
        <w:ind w:left="284" w:hanging="426"/>
        <w:outlineLvl w:val="0"/>
        <w:rPr>
          <w:b/>
          <w:szCs w:val="22"/>
        </w:rPr>
      </w:pPr>
      <w:r w:rsidRPr="008C04DA">
        <w:rPr>
          <w:b/>
          <w:szCs w:val="22"/>
        </w:rPr>
        <w:t>BACKGROUND TO THE REPORT</w:t>
      </w:r>
    </w:p>
    <w:p w:rsidR="00D363CD" w:rsidRDefault="00D363CD" w:rsidP="00D363CD">
      <w:pPr>
        <w:keepNext/>
        <w:ind w:left="284"/>
        <w:outlineLvl w:val="0"/>
        <w:rPr>
          <w:b/>
          <w:szCs w:val="22"/>
        </w:rPr>
      </w:pPr>
    </w:p>
    <w:p w:rsidR="00D363CD" w:rsidRPr="004B776B" w:rsidRDefault="00D363CD" w:rsidP="00D363CD">
      <w:pPr>
        <w:keepNext/>
        <w:numPr>
          <w:ilvl w:val="1"/>
          <w:numId w:val="1"/>
        </w:numPr>
        <w:ind w:hanging="502"/>
        <w:outlineLvl w:val="0"/>
        <w:rPr>
          <w:szCs w:val="22"/>
        </w:rPr>
      </w:pPr>
      <w:r>
        <w:rPr>
          <w:szCs w:val="22"/>
        </w:rPr>
        <w:t xml:space="preserve">The </w:t>
      </w:r>
      <w:r w:rsidRPr="004B776B">
        <w:rPr>
          <w:szCs w:val="22"/>
        </w:rPr>
        <w:t xml:space="preserve">Council </w:t>
      </w:r>
      <w:r>
        <w:rPr>
          <w:szCs w:val="22"/>
        </w:rPr>
        <w:t>has f</w:t>
      </w:r>
      <w:r w:rsidRPr="004B776B">
        <w:rPr>
          <w:szCs w:val="22"/>
        </w:rPr>
        <w:t xml:space="preserve">ive </w:t>
      </w:r>
      <w:r>
        <w:rPr>
          <w:szCs w:val="22"/>
        </w:rPr>
        <w:t xml:space="preserve">My </w:t>
      </w:r>
      <w:r w:rsidRPr="004B776B">
        <w:rPr>
          <w:szCs w:val="22"/>
        </w:rPr>
        <w:t>Neighbourhood Forums across the Borough</w:t>
      </w:r>
      <w:r>
        <w:rPr>
          <w:szCs w:val="22"/>
        </w:rPr>
        <w:t>, each with its own</w:t>
      </w:r>
      <w:r w:rsidRPr="004B776B">
        <w:rPr>
          <w:szCs w:val="22"/>
        </w:rPr>
        <w:t xml:space="preserve"> My Neighbourhood Plan, containing projects to deliver local priorities</w:t>
      </w:r>
      <w:r>
        <w:rPr>
          <w:szCs w:val="22"/>
        </w:rPr>
        <w:t>.</w:t>
      </w:r>
      <w:r w:rsidRPr="004B776B">
        <w:rPr>
          <w:szCs w:val="22"/>
        </w:rPr>
        <w:t xml:space="preserve"> </w:t>
      </w:r>
      <w:r>
        <w:rPr>
          <w:szCs w:val="22"/>
        </w:rPr>
        <w:t>P</w:t>
      </w:r>
      <w:r w:rsidRPr="004B776B">
        <w:rPr>
          <w:szCs w:val="22"/>
        </w:rPr>
        <w:t>lans contain a mixture of</w:t>
      </w:r>
      <w:r>
        <w:rPr>
          <w:szCs w:val="22"/>
        </w:rPr>
        <w:t xml:space="preserve"> projects</w:t>
      </w:r>
      <w:r w:rsidRPr="004B776B">
        <w:rPr>
          <w:szCs w:val="22"/>
        </w:rPr>
        <w:t xml:space="preserve"> - high and low cost, long and short term delivery, and a mix of capital works and community based schemes. </w:t>
      </w:r>
    </w:p>
    <w:p w:rsidR="00334272" w:rsidRPr="004B776B" w:rsidRDefault="00334272" w:rsidP="00334272">
      <w:pPr>
        <w:keepNext/>
        <w:ind w:left="360"/>
        <w:outlineLvl w:val="0"/>
        <w:rPr>
          <w:szCs w:val="22"/>
        </w:rPr>
      </w:pPr>
    </w:p>
    <w:p w:rsidR="00334272" w:rsidRPr="004B776B" w:rsidRDefault="00334272" w:rsidP="00334272">
      <w:pPr>
        <w:keepNext/>
        <w:numPr>
          <w:ilvl w:val="1"/>
          <w:numId w:val="1"/>
        </w:numPr>
        <w:ind w:left="567" w:hanging="567"/>
        <w:outlineLvl w:val="0"/>
        <w:rPr>
          <w:szCs w:val="22"/>
        </w:rPr>
      </w:pPr>
      <w:r>
        <w:rPr>
          <w:szCs w:val="22"/>
        </w:rPr>
        <w:t>A</w:t>
      </w:r>
      <w:r w:rsidRPr="004B776B">
        <w:rPr>
          <w:szCs w:val="22"/>
        </w:rPr>
        <w:t xml:space="preserve"> range of projects have been delivered in all of the My Neighbourhood areas. The plans remain ‘live’ and have been updated as projects are completed.  Reserve projects, i.e. ideas for inclusion on My Neighbourhood plans are continually sought via members and residents.</w:t>
      </w:r>
    </w:p>
    <w:p w:rsidR="00334272" w:rsidRPr="008C04DA" w:rsidRDefault="00334272" w:rsidP="00334272">
      <w:pPr>
        <w:keepNext/>
        <w:ind w:left="360"/>
        <w:outlineLvl w:val="0"/>
        <w:rPr>
          <w:szCs w:val="22"/>
        </w:rPr>
      </w:pPr>
    </w:p>
    <w:p w:rsidR="00334272" w:rsidRDefault="00334272" w:rsidP="00334272">
      <w:pPr>
        <w:keepNext/>
        <w:numPr>
          <w:ilvl w:val="0"/>
          <w:numId w:val="1"/>
        </w:numPr>
        <w:ind w:left="567" w:hanging="567"/>
        <w:outlineLvl w:val="0"/>
        <w:rPr>
          <w:b/>
          <w:szCs w:val="22"/>
        </w:rPr>
      </w:pPr>
      <w:r w:rsidRPr="00447CA5">
        <w:rPr>
          <w:b/>
          <w:szCs w:val="22"/>
        </w:rPr>
        <w:t xml:space="preserve">PROPOSALS </w:t>
      </w:r>
    </w:p>
    <w:p w:rsidR="00447CA5" w:rsidRPr="00447CA5" w:rsidRDefault="00447CA5" w:rsidP="00447CA5">
      <w:pPr>
        <w:keepNext/>
        <w:ind w:left="567"/>
        <w:outlineLvl w:val="0"/>
        <w:rPr>
          <w:b/>
          <w:szCs w:val="22"/>
        </w:rPr>
      </w:pPr>
    </w:p>
    <w:p w:rsidR="00334272" w:rsidRPr="0011550C" w:rsidRDefault="00334272" w:rsidP="00334272">
      <w:pPr>
        <w:keepNext/>
        <w:numPr>
          <w:ilvl w:val="1"/>
          <w:numId w:val="1"/>
        </w:numPr>
        <w:ind w:left="567" w:hanging="567"/>
        <w:outlineLvl w:val="0"/>
        <w:rPr>
          <w:szCs w:val="22"/>
          <w:u w:val="single"/>
        </w:rPr>
      </w:pPr>
      <w:r w:rsidRPr="0011550C">
        <w:rPr>
          <w:szCs w:val="22"/>
          <w:u w:val="single"/>
        </w:rPr>
        <w:t>My Neighbourhood Plans</w:t>
      </w:r>
    </w:p>
    <w:p w:rsidR="00334272" w:rsidRPr="0011550C" w:rsidRDefault="00334272" w:rsidP="00334272">
      <w:pPr>
        <w:keepNext/>
        <w:ind w:left="567"/>
        <w:outlineLvl w:val="0"/>
        <w:rPr>
          <w:szCs w:val="22"/>
        </w:rPr>
      </w:pPr>
      <w:r w:rsidRPr="0011550C">
        <w:rPr>
          <w:szCs w:val="22"/>
        </w:rPr>
        <w:t>My Neighbourhood Plans have been revisited and worked through.  It remains important that each pla</w:t>
      </w:r>
      <w:r w:rsidR="00EC232E">
        <w:rPr>
          <w:szCs w:val="22"/>
        </w:rPr>
        <w:t>n carries a balance of projects.</w:t>
      </w:r>
      <w:r w:rsidRPr="0011550C">
        <w:rPr>
          <w:szCs w:val="22"/>
        </w:rPr>
        <w:t xml:space="preserve"> </w:t>
      </w:r>
      <w:r w:rsidR="00640775">
        <w:rPr>
          <w:szCs w:val="22"/>
        </w:rPr>
        <w:t>Usu</w:t>
      </w:r>
      <w:r w:rsidR="00EC232E">
        <w:rPr>
          <w:szCs w:val="22"/>
        </w:rPr>
        <w:t>ally</w:t>
      </w:r>
      <w:r w:rsidRPr="0011550C">
        <w:rPr>
          <w:szCs w:val="22"/>
        </w:rPr>
        <w:t xml:space="preserve"> one or more </w:t>
      </w:r>
      <w:r w:rsidRPr="0011550C">
        <w:rPr>
          <w:szCs w:val="22"/>
        </w:rPr>
        <w:lastRenderedPageBreak/>
        <w:t xml:space="preserve">large scale / long term schemes, </w:t>
      </w:r>
      <w:r w:rsidR="00EC232E">
        <w:rPr>
          <w:szCs w:val="22"/>
        </w:rPr>
        <w:t>which are linked to the corporate priorities found in the Corporate Plan, complemented by</w:t>
      </w:r>
      <w:r w:rsidRPr="0011550C">
        <w:rPr>
          <w:szCs w:val="22"/>
        </w:rPr>
        <w:t xml:space="preserve"> a measured number of operational </w:t>
      </w:r>
      <w:r w:rsidR="00EC232E">
        <w:rPr>
          <w:szCs w:val="22"/>
        </w:rPr>
        <w:t>initiatives</w:t>
      </w:r>
      <w:r w:rsidRPr="0011550C">
        <w:rPr>
          <w:szCs w:val="22"/>
        </w:rPr>
        <w:t xml:space="preserve"> which can progress concurrently.  Presently, each forum has a ‘reserve’ list of projects, awaiting inclusion on the plan.  These vary</w:t>
      </w:r>
      <w:r w:rsidR="0063422C">
        <w:rPr>
          <w:szCs w:val="22"/>
        </w:rPr>
        <w:t xml:space="preserve"> significantly</w:t>
      </w:r>
      <w:r w:rsidRPr="0011550C">
        <w:rPr>
          <w:szCs w:val="22"/>
        </w:rPr>
        <w:t xml:space="preserve"> </w:t>
      </w:r>
      <w:r w:rsidR="0063422C">
        <w:rPr>
          <w:szCs w:val="22"/>
        </w:rPr>
        <w:t xml:space="preserve">in scale; going forward, suggested projects will be viability checked before being adopted as ‘reserve’ schemes. </w:t>
      </w:r>
    </w:p>
    <w:p w:rsidR="00334272" w:rsidRPr="0011550C" w:rsidRDefault="00334272" w:rsidP="00334272">
      <w:pPr>
        <w:keepNext/>
        <w:ind w:left="567"/>
        <w:outlineLvl w:val="0"/>
        <w:rPr>
          <w:szCs w:val="22"/>
        </w:rPr>
      </w:pPr>
    </w:p>
    <w:p w:rsidR="00334272" w:rsidRDefault="00334272" w:rsidP="00334272">
      <w:pPr>
        <w:keepNext/>
        <w:numPr>
          <w:ilvl w:val="1"/>
          <w:numId w:val="1"/>
        </w:numPr>
        <w:ind w:left="567" w:hanging="567"/>
        <w:outlineLvl w:val="0"/>
        <w:rPr>
          <w:szCs w:val="22"/>
        </w:rPr>
      </w:pPr>
      <w:r w:rsidRPr="0011550C">
        <w:rPr>
          <w:szCs w:val="22"/>
        </w:rPr>
        <w:t xml:space="preserve">Proposed My Neighbourhood Plans for 2018/19 are attached to this report.  Focus has been given to consistency across areas and clarity of message, which will allow officers and members to manage workload and expectations.   </w:t>
      </w:r>
    </w:p>
    <w:p w:rsidR="00334272" w:rsidRDefault="00334272" w:rsidP="00334272">
      <w:pPr>
        <w:keepNext/>
        <w:ind w:left="567"/>
        <w:outlineLvl w:val="0"/>
        <w:rPr>
          <w:szCs w:val="22"/>
        </w:rPr>
      </w:pPr>
    </w:p>
    <w:p w:rsidR="00334272" w:rsidRDefault="00334272" w:rsidP="00334272">
      <w:pPr>
        <w:keepNext/>
        <w:numPr>
          <w:ilvl w:val="1"/>
          <w:numId w:val="1"/>
        </w:numPr>
        <w:ind w:left="567" w:hanging="567"/>
        <w:outlineLvl w:val="0"/>
        <w:rPr>
          <w:szCs w:val="22"/>
          <w:u w:val="single"/>
        </w:rPr>
      </w:pPr>
      <w:r w:rsidRPr="00D62017">
        <w:rPr>
          <w:szCs w:val="22"/>
          <w:u w:val="single"/>
        </w:rPr>
        <w:t>Nominations for Forum Chairs and Vice Chairs</w:t>
      </w:r>
    </w:p>
    <w:p w:rsidR="00334272" w:rsidRDefault="00334272" w:rsidP="00334272">
      <w:pPr>
        <w:keepNext/>
        <w:ind w:left="567"/>
        <w:outlineLvl w:val="0"/>
        <w:rPr>
          <w:szCs w:val="22"/>
        </w:rPr>
      </w:pPr>
    </w:p>
    <w:p w:rsidR="00334272" w:rsidRDefault="00334272" w:rsidP="00334272">
      <w:pPr>
        <w:keepNext/>
        <w:ind w:left="567"/>
        <w:outlineLvl w:val="0"/>
        <w:rPr>
          <w:szCs w:val="22"/>
        </w:rPr>
      </w:pPr>
      <w:r>
        <w:rPr>
          <w:szCs w:val="22"/>
        </w:rPr>
        <w:t xml:space="preserve">In line with the Constitution, </w:t>
      </w:r>
      <w:r w:rsidRPr="00D62017">
        <w:rPr>
          <w:szCs w:val="22"/>
        </w:rPr>
        <w:t>Chairs and Vice Chairs of Neighbourhood Forums are nominated</w:t>
      </w:r>
      <w:r>
        <w:rPr>
          <w:szCs w:val="22"/>
        </w:rPr>
        <w:t xml:space="preserve"> annually </w:t>
      </w:r>
      <w:r w:rsidRPr="00D62017">
        <w:rPr>
          <w:szCs w:val="22"/>
        </w:rPr>
        <w:t>by political groups</w:t>
      </w:r>
      <w:r>
        <w:rPr>
          <w:szCs w:val="22"/>
        </w:rPr>
        <w:t>. This is based on the group with the majority of seats in respective My Neighbourhood areas.</w:t>
      </w:r>
    </w:p>
    <w:p w:rsidR="00334272" w:rsidRDefault="00334272" w:rsidP="00334272">
      <w:pPr>
        <w:keepNext/>
        <w:outlineLvl w:val="0"/>
        <w:rPr>
          <w:szCs w:val="22"/>
        </w:rPr>
      </w:pPr>
    </w:p>
    <w:p w:rsidR="00334272" w:rsidRPr="000D38AC" w:rsidRDefault="00334272" w:rsidP="00F93C1B">
      <w:pPr>
        <w:keepNext/>
        <w:numPr>
          <w:ilvl w:val="1"/>
          <w:numId w:val="1"/>
        </w:numPr>
        <w:ind w:left="567" w:hanging="567"/>
        <w:outlineLvl w:val="0"/>
        <w:rPr>
          <w:szCs w:val="22"/>
          <w:u w:val="single"/>
        </w:rPr>
      </w:pPr>
      <w:r w:rsidRPr="000D38AC">
        <w:rPr>
          <w:szCs w:val="22"/>
        </w:rPr>
        <w:t xml:space="preserve">Nominations received for 2018/19 </w:t>
      </w:r>
      <w:r w:rsidR="000D38AC" w:rsidRPr="000D38AC">
        <w:rPr>
          <w:szCs w:val="22"/>
        </w:rPr>
        <w:t>will be presented to Council at the first business meeting in May 2018.</w:t>
      </w:r>
    </w:p>
    <w:p w:rsidR="00447CA5" w:rsidRDefault="00447CA5" w:rsidP="00447CA5">
      <w:pPr>
        <w:keepNext/>
        <w:ind w:left="567"/>
        <w:outlineLvl w:val="0"/>
        <w:rPr>
          <w:szCs w:val="22"/>
          <w:u w:val="single"/>
        </w:rPr>
      </w:pPr>
    </w:p>
    <w:p w:rsidR="00334272" w:rsidRPr="004B51D7" w:rsidRDefault="00334272" w:rsidP="00334272">
      <w:pPr>
        <w:keepNext/>
        <w:numPr>
          <w:ilvl w:val="1"/>
          <w:numId w:val="1"/>
        </w:numPr>
        <w:ind w:left="567" w:hanging="567"/>
        <w:outlineLvl w:val="0"/>
        <w:rPr>
          <w:szCs w:val="22"/>
          <w:u w:val="single"/>
        </w:rPr>
      </w:pPr>
      <w:r w:rsidRPr="004B51D7">
        <w:rPr>
          <w:szCs w:val="22"/>
          <w:u w:val="single"/>
        </w:rPr>
        <w:t xml:space="preserve">Developments in the My Neighbourhood Approach </w:t>
      </w:r>
    </w:p>
    <w:p w:rsidR="00334272" w:rsidRDefault="00334272" w:rsidP="00334272">
      <w:pPr>
        <w:keepNext/>
        <w:ind w:left="567"/>
        <w:outlineLvl w:val="0"/>
        <w:rPr>
          <w:szCs w:val="22"/>
          <w:u w:val="single"/>
        </w:rPr>
      </w:pPr>
    </w:p>
    <w:p w:rsidR="00334272" w:rsidRPr="00450003" w:rsidRDefault="00334272" w:rsidP="00334272">
      <w:pPr>
        <w:keepNext/>
        <w:ind w:left="567"/>
        <w:outlineLvl w:val="0"/>
        <w:rPr>
          <w:szCs w:val="22"/>
        </w:rPr>
      </w:pPr>
      <w:r>
        <w:rPr>
          <w:szCs w:val="22"/>
        </w:rPr>
        <w:t>In agreement with the Portfolio Holder and Forum Chairs and Vice Chairs, there will be a renewed focus on communication of progress and outcomes throughout 2018/19 and beyond.</w:t>
      </w:r>
    </w:p>
    <w:p w:rsidR="00334272" w:rsidRDefault="00334272" w:rsidP="00334272">
      <w:pPr>
        <w:keepNext/>
        <w:ind w:left="567"/>
        <w:outlineLvl w:val="0"/>
        <w:rPr>
          <w:szCs w:val="22"/>
          <w:u w:val="single"/>
        </w:rPr>
      </w:pPr>
    </w:p>
    <w:p w:rsidR="00334272" w:rsidRDefault="00334272" w:rsidP="00334272">
      <w:pPr>
        <w:keepNext/>
        <w:numPr>
          <w:ilvl w:val="1"/>
          <w:numId w:val="1"/>
        </w:numPr>
        <w:ind w:left="567" w:hanging="567"/>
        <w:outlineLvl w:val="0"/>
        <w:rPr>
          <w:szCs w:val="22"/>
        </w:rPr>
      </w:pPr>
      <w:r>
        <w:rPr>
          <w:szCs w:val="22"/>
        </w:rPr>
        <w:t>A My Neighbourhoods Annual Report will be published, with highlights of work and feedback from residents and community groups.  This will be made available in hard copy and online, to be accessible to all.</w:t>
      </w:r>
    </w:p>
    <w:p w:rsidR="00334272" w:rsidRDefault="00334272" w:rsidP="00334272">
      <w:pPr>
        <w:keepNext/>
        <w:ind w:left="567"/>
        <w:outlineLvl w:val="0"/>
        <w:rPr>
          <w:szCs w:val="22"/>
        </w:rPr>
      </w:pPr>
    </w:p>
    <w:p w:rsidR="00334272" w:rsidRDefault="00334272" w:rsidP="00334272">
      <w:pPr>
        <w:keepNext/>
        <w:numPr>
          <w:ilvl w:val="1"/>
          <w:numId w:val="1"/>
        </w:numPr>
        <w:ind w:left="567" w:hanging="567"/>
        <w:outlineLvl w:val="0"/>
        <w:rPr>
          <w:szCs w:val="22"/>
        </w:rPr>
      </w:pPr>
      <w:r>
        <w:rPr>
          <w:szCs w:val="22"/>
        </w:rPr>
        <w:t>A biannual newsletter will be produced for each of the My Neighbourhood Forums, containing projects updates, opportunities for involvement, consultations, and contact details for local ward members.</w:t>
      </w:r>
    </w:p>
    <w:p w:rsidR="00334272" w:rsidRDefault="00334272" w:rsidP="00334272">
      <w:pPr>
        <w:keepNext/>
        <w:outlineLvl w:val="0"/>
        <w:rPr>
          <w:szCs w:val="22"/>
        </w:rPr>
      </w:pPr>
    </w:p>
    <w:p w:rsidR="00334272" w:rsidRPr="004B51D7" w:rsidRDefault="00334272" w:rsidP="00334272">
      <w:pPr>
        <w:keepNext/>
        <w:numPr>
          <w:ilvl w:val="1"/>
          <w:numId w:val="1"/>
        </w:numPr>
        <w:ind w:left="567" w:hanging="567"/>
        <w:outlineLvl w:val="0"/>
        <w:rPr>
          <w:szCs w:val="22"/>
        </w:rPr>
      </w:pPr>
      <w:r>
        <w:rPr>
          <w:szCs w:val="22"/>
        </w:rPr>
        <w:t xml:space="preserve">All forums will continue to evolve and respond to their local communities.  Examples include trading standards officers attending forums to talk to concerned residents about scams / rogue traders, or using community venues to generate income for fundraising groups.   </w:t>
      </w:r>
    </w:p>
    <w:p w:rsidR="00334272" w:rsidRPr="008C04DA" w:rsidRDefault="00334272" w:rsidP="00334272">
      <w:pPr>
        <w:keepNext/>
        <w:outlineLvl w:val="0"/>
        <w:rPr>
          <w:szCs w:val="22"/>
        </w:rPr>
      </w:pPr>
      <w:r w:rsidRPr="008C04DA">
        <w:rPr>
          <w:b/>
          <w:szCs w:val="22"/>
        </w:rPr>
        <w:t xml:space="preserve"> </w:t>
      </w:r>
    </w:p>
    <w:p w:rsidR="00334272" w:rsidRDefault="00334272" w:rsidP="00334272">
      <w:pPr>
        <w:ind w:left="360"/>
        <w:rPr>
          <w:rFonts w:cs="Arial"/>
          <w:b/>
        </w:rPr>
      </w:pPr>
    </w:p>
    <w:p w:rsidR="00334272" w:rsidRDefault="00334272" w:rsidP="00334272">
      <w:pPr>
        <w:numPr>
          <w:ilvl w:val="0"/>
          <w:numId w:val="1"/>
        </w:numPr>
        <w:ind w:left="567" w:hanging="567"/>
        <w:rPr>
          <w:rFonts w:cs="Arial"/>
          <w:b/>
        </w:rPr>
      </w:pPr>
      <w:r>
        <w:rPr>
          <w:rFonts w:cs="Arial"/>
          <w:b/>
        </w:rPr>
        <w:t>CONSULTATION CARRIED OUT AND OUTCOME OF CONSULTATION</w:t>
      </w:r>
    </w:p>
    <w:p w:rsidR="00334272" w:rsidRDefault="00334272" w:rsidP="00334272">
      <w:pPr>
        <w:numPr>
          <w:ilvl w:val="1"/>
          <w:numId w:val="1"/>
        </w:numPr>
        <w:ind w:left="567" w:hanging="567"/>
        <w:rPr>
          <w:rFonts w:cs="Arial"/>
        </w:rPr>
      </w:pPr>
      <w:r w:rsidRPr="0011550C">
        <w:rPr>
          <w:rFonts w:cs="Arial"/>
        </w:rPr>
        <w:t xml:space="preserve">Consultation in relation to the My Neighbourhood </w:t>
      </w:r>
      <w:r>
        <w:rPr>
          <w:rFonts w:cs="Arial"/>
        </w:rPr>
        <w:t xml:space="preserve">approach </w:t>
      </w:r>
      <w:r w:rsidRPr="0011550C">
        <w:rPr>
          <w:rFonts w:cs="Arial"/>
        </w:rPr>
        <w:t>is ongoing</w:t>
      </w:r>
      <w:r>
        <w:rPr>
          <w:rFonts w:cs="Arial"/>
        </w:rPr>
        <w:t xml:space="preserve">, with feedback sought continually via forums, social media and events.  Strong working relationships with </w:t>
      </w:r>
      <w:r w:rsidR="0063422C">
        <w:rPr>
          <w:rFonts w:cs="Arial"/>
        </w:rPr>
        <w:t xml:space="preserve">many </w:t>
      </w:r>
      <w:r>
        <w:rPr>
          <w:rFonts w:cs="Arial"/>
        </w:rPr>
        <w:t>community groups, including schools, churches</w:t>
      </w:r>
      <w:r w:rsidR="0063422C">
        <w:rPr>
          <w:rFonts w:cs="Arial"/>
        </w:rPr>
        <w:t xml:space="preserve">, businesses, county </w:t>
      </w:r>
      <w:r>
        <w:rPr>
          <w:rFonts w:cs="Arial"/>
        </w:rPr>
        <w:t xml:space="preserve">and parish councils also provide effective channels of consultation around local needs and potential improvement projects.   </w:t>
      </w:r>
    </w:p>
    <w:p w:rsidR="00334272" w:rsidRDefault="00334272" w:rsidP="00334272">
      <w:pPr>
        <w:ind w:left="567"/>
        <w:rPr>
          <w:rFonts w:cs="Arial"/>
        </w:rPr>
      </w:pPr>
    </w:p>
    <w:p w:rsidR="00334272" w:rsidRDefault="00334272" w:rsidP="00334272">
      <w:pPr>
        <w:numPr>
          <w:ilvl w:val="1"/>
          <w:numId w:val="1"/>
        </w:numPr>
        <w:ind w:left="567" w:hanging="567"/>
        <w:rPr>
          <w:rFonts w:cs="Arial"/>
        </w:rPr>
      </w:pPr>
      <w:r>
        <w:rPr>
          <w:rFonts w:cs="Arial"/>
        </w:rPr>
        <w:t xml:space="preserve">At regular planning meetings, elected members report on and discuss local issues, which in turn informs the projects contained in My Neighbourhood plans, and their subsequent outcomes.    </w:t>
      </w:r>
    </w:p>
    <w:p w:rsidR="00334272" w:rsidRPr="0011550C" w:rsidRDefault="00334272" w:rsidP="00334272">
      <w:pPr>
        <w:rPr>
          <w:rFonts w:cs="Arial"/>
        </w:rPr>
      </w:pPr>
    </w:p>
    <w:p w:rsidR="00334272" w:rsidRDefault="00334272" w:rsidP="00334272">
      <w:pPr>
        <w:numPr>
          <w:ilvl w:val="0"/>
          <w:numId w:val="1"/>
        </w:numPr>
        <w:ind w:left="567" w:hanging="567"/>
        <w:rPr>
          <w:rFonts w:cs="Arial"/>
          <w:b/>
        </w:rPr>
      </w:pPr>
      <w:r>
        <w:rPr>
          <w:rFonts w:cs="Arial"/>
          <w:b/>
        </w:rPr>
        <w:t xml:space="preserve">OTHER OPTIONS CONSIDERED </w:t>
      </w:r>
    </w:p>
    <w:p w:rsidR="00334272" w:rsidRDefault="00334272" w:rsidP="00334272">
      <w:pPr>
        <w:ind w:left="567"/>
        <w:rPr>
          <w:rFonts w:cs="Arial"/>
          <w:b/>
        </w:rPr>
      </w:pPr>
    </w:p>
    <w:p w:rsidR="00334272" w:rsidRPr="003B0665" w:rsidRDefault="00D924EE" w:rsidP="00334272">
      <w:pPr>
        <w:numPr>
          <w:ilvl w:val="1"/>
          <w:numId w:val="1"/>
        </w:numPr>
        <w:ind w:left="567" w:hanging="567"/>
        <w:rPr>
          <w:rFonts w:cs="Arial"/>
        </w:rPr>
      </w:pPr>
      <w:r>
        <w:rPr>
          <w:rFonts w:cs="Arial"/>
        </w:rPr>
        <w:t>Each project contained in the My Neighbourhood Plans is subject to options appraisal to assess value for money, delivery method and fit with the Corporate Plan</w:t>
      </w:r>
      <w:r w:rsidR="00334272" w:rsidRPr="003B0665">
        <w:rPr>
          <w:rFonts w:cs="Arial"/>
        </w:rPr>
        <w:t xml:space="preserve">. </w:t>
      </w:r>
    </w:p>
    <w:p w:rsidR="00334272" w:rsidRDefault="00334272" w:rsidP="00334272">
      <w:pPr>
        <w:rPr>
          <w:rFonts w:cs="Arial"/>
          <w:b/>
        </w:rPr>
      </w:pPr>
    </w:p>
    <w:p w:rsidR="00334272" w:rsidRDefault="00334272" w:rsidP="00334272">
      <w:pPr>
        <w:numPr>
          <w:ilvl w:val="0"/>
          <w:numId w:val="1"/>
        </w:numPr>
        <w:ind w:left="567" w:hanging="567"/>
        <w:rPr>
          <w:rFonts w:cs="Arial"/>
          <w:b/>
          <w:caps/>
        </w:rPr>
      </w:pPr>
      <w:r w:rsidRPr="00491976">
        <w:rPr>
          <w:rFonts w:cs="Arial"/>
          <w:b/>
          <w:caps/>
        </w:rPr>
        <w:t>Financial implications</w:t>
      </w:r>
    </w:p>
    <w:p w:rsidR="00334272" w:rsidRDefault="00334272" w:rsidP="00334272">
      <w:pPr>
        <w:ind w:left="567"/>
        <w:rPr>
          <w:rFonts w:cs="Arial"/>
          <w:b/>
          <w:caps/>
        </w:rPr>
      </w:pPr>
    </w:p>
    <w:p w:rsidR="00334272" w:rsidRDefault="00334272" w:rsidP="00334272">
      <w:pPr>
        <w:numPr>
          <w:ilvl w:val="1"/>
          <w:numId w:val="1"/>
        </w:numPr>
        <w:ind w:left="567" w:hanging="567"/>
        <w:rPr>
          <w:rFonts w:cs="Arial"/>
        </w:rPr>
      </w:pPr>
      <w:r>
        <w:rPr>
          <w:rFonts w:cs="Arial"/>
        </w:rPr>
        <w:lastRenderedPageBreak/>
        <w:t>Each My N</w:t>
      </w:r>
      <w:r w:rsidRPr="00C939A1">
        <w:rPr>
          <w:rFonts w:cs="Arial"/>
        </w:rPr>
        <w:t>eighbo</w:t>
      </w:r>
      <w:r>
        <w:rPr>
          <w:rFonts w:cs="Arial"/>
        </w:rPr>
        <w:t>u</w:t>
      </w:r>
      <w:r w:rsidRPr="00C939A1">
        <w:rPr>
          <w:rFonts w:cs="Arial"/>
        </w:rPr>
        <w:t>rh</w:t>
      </w:r>
      <w:r>
        <w:rPr>
          <w:rFonts w:cs="Arial"/>
        </w:rPr>
        <w:t xml:space="preserve">ood Forum has an annual allocation of core revenue funds, calculated </w:t>
      </w:r>
      <w:r w:rsidR="0063422C">
        <w:rPr>
          <w:rFonts w:cs="Arial"/>
        </w:rPr>
        <w:t xml:space="preserve">proportionately on the number of members.  </w:t>
      </w:r>
      <w:r>
        <w:rPr>
          <w:rFonts w:cs="Arial"/>
        </w:rPr>
        <w:t>The collective total of £25,000 for 2018/19 was approved as part of the Council’s overall budget on 28 February.</w:t>
      </w:r>
    </w:p>
    <w:p w:rsidR="00334272" w:rsidRDefault="00334272" w:rsidP="00334272">
      <w:pPr>
        <w:ind w:left="567"/>
        <w:rPr>
          <w:rFonts w:cs="Arial"/>
        </w:rPr>
      </w:pPr>
    </w:p>
    <w:p w:rsidR="00334272" w:rsidRDefault="00334272" w:rsidP="00334272">
      <w:pPr>
        <w:numPr>
          <w:ilvl w:val="1"/>
          <w:numId w:val="1"/>
        </w:numPr>
        <w:ind w:left="567" w:hanging="567"/>
        <w:rPr>
          <w:rFonts w:cs="Arial"/>
        </w:rPr>
      </w:pPr>
      <w:r>
        <w:rPr>
          <w:rFonts w:cs="Arial"/>
        </w:rPr>
        <w:t>2018/19 core funds for forums are:</w:t>
      </w:r>
    </w:p>
    <w:p w:rsidR="00334272" w:rsidRPr="00DD2267" w:rsidRDefault="00334272" w:rsidP="00334272">
      <w:pPr>
        <w:rPr>
          <w:rFonts w:cs="Arial"/>
          <w:sz w:val="8"/>
        </w:rPr>
      </w:pPr>
    </w:p>
    <w:tbl>
      <w:tblPr>
        <w:tblpPr w:leftFromText="180" w:rightFromText="180" w:vertAnchor="text" w:horzAnchor="page" w:tblpX="1993"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276"/>
        <w:gridCol w:w="2268"/>
      </w:tblGrid>
      <w:tr w:rsidR="00334272" w:rsidRPr="00C63F7E" w:rsidTr="00BF08B6">
        <w:tc>
          <w:tcPr>
            <w:tcW w:w="2693" w:type="dxa"/>
            <w:shd w:val="clear" w:color="auto" w:fill="D9D9D9"/>
          </w:tcPr>
          <w:p w:rsidR="00334272" w:rsidRPr="00C63F7E" w:rsidRDefault="00334272" w:rsidP="00BF08B6">
            <w:pPr>
              <w:rPr>
                <w:rFonts w:cs="Arial"/>
                <w:b/>
              </w:rPr>
            </w:pPr>
            <w:r w:rsidRPr="00C63F7E">
              <w:rPr>
                <w:rFonts w:cs="Arial"/>
                <w:b/>
              </w:rPr>
              <w:t>Area</w:t>
            </w:r>
          </w:p>
        </w:tc>
        <w:tc>
          <w:tcPr>
            <w:tcW w:w="1276" w:type="dxa"/>
            <w:shd w:val="clear" w:color="auto" w:fill="D9D9D9"/>
          </w:tcPr>
          <w:p w:rsidR="00334272" w:rsidRPr="00C63F7E" w:rsidRDefault="00334272" w:rsidP="00BF08B6">
            <w:pPr>
              <w:jc w:val="center"/>
              <w:rPr>
                <w:rFonts w:cs="Arial"/>
                <w:b/>
              </w:rPr>
            </w:pPr>
            <w:r w:rsidRPr="00C63F7E">
              <w:rPr>
                <w:rFonts w:cs="Arial"/>
                <w:b/>
              </w:rPr>
              <w:t>Members</w:t>
            </w:r>
          </w:p>
        </w:tc>
        <w:tc>
          <w:tcPr>
            <w:tcW w:w="2268" w:type="dxa"/>
            <w:shd w:val="clear" w:color="auto" w:fill="D9D9D9"/>
          </w:tcPr>
          <w:p w:rsidR="00334272" w:rsidRPr="00C63F7E" w:rsidRDefault="00334272" w:rsidP="00BF08B6">
            <w:pPr>
              <w:jc w:val="center"/>
              <w:rPr>
                <w:rFonts w:cs="Arial"/>
                <w:b/>
              </w:rPr>
            </w:pPr>
            <w:r w:rsidRPr="00C63F7E">
              <w:rPr>
                <w:rFonts w:cs="Arial"/>
                <w:b/>
              </w:rPr>
              <w:t>Annual Budget</w:t>
            </w:r>
          </w:p>
        </w:tc>
      </w:tr>
      <w:tr w:rsidR="00334272" w:rsidRPr="00C63F7E" w:rsidTr="00BF08B6">
        <w:tc>
          <w:tcPr>
            <w:tcW w:w="2693" w:type="dxa"/>
            <w:shd w:val="clear" w:color="auto" w:fill="auto"/>
          </w:tcPr>
          <w:p w:rsidR="00334272" w:rsidRPr="00C63F7E" w:rsidRDefault="00334272" w:rsidP="00BF08B6">
            <w:pPr>
              <w:rPr>
                <w:rFonts w:cs="Arial"/>
              </w:rPr>
            </w:pPr>
            <w:r w:rsidRPr="00C63F7E">
              <w:rPr>
                <w:rFonts w:cs="Arial"/>
              </w:rPr>
              <w:t xml:space="preserve">Central </w:t>
            </w:r>
          </w:p>
        </w:tc>
        <w:tc>
          <w:tcPr>
            <w:tcW w:w="1276" w:type="dxa"/>
            <w:shd w:val="clear" w:color="auto" w:fill="auto"/>
          </w:tcPr>
          <w:p w:rsidR="00334272" w:rsidRPr="00C63F7E" w:rsidRDefault="00334272" w:rsidP="00BF08B6">
            <w:pPr>
              <w:jc w:val="center"/>
              <w:rPr>
                <w:rFonts w:cs="Arial"/>
              </w:rPr>
            </w:pPr>
            <w:r w:rsidRPr="00C63F7E">
              <w:rPr>
                <w:rFonts w:cs="Arial"/>
              </w:rPr>
              <w:t>7</w:t>
            </w:r>
          </w:p>
        </w:tc>
        <w:tc>
          <w:tcPr>
            <w:tcW w:w="2268" w:type="dxa"/>
            <w:shd w:val="clear" w:color="auto" w:fill="auto"/>
          </w:tcPr>
          <w:p w:rsidR="00334272" w:rsidRPr="00C63F7E" w:rsidRDefault="00334272" w:rsidP="00BF08B6">
            <w:pPr>
              <w:jc w:val="center"/>
              <w:rPr>
                <w:rFonts w:cs="Arial"/>
              </w:rPr>
            </w:pPr>
            <w:r w:rsidRPr="00C63F7E">
              <w:rPr>
                <w:rFonts w:cs="Arial"/>
              </w:rPr>
              <w:t>£3500</w:t>
            </w:r>
          </w:p>
        </w:tc>
      </w:tr>
      <w:tr w:rsidR="00334272" w:rsidRPr="00C63F7E" w:rsidTr="00BF08B6">
        <w:tc>
          <w:tcPr>
            <w:tcW w:w="2693" w:type="dxa"/>
            <w:shd w:val="clear" w:color="auto" w:fill="auto"/>
          </w:tcPr>
          <w:p w:rsidR="00334272" w:rsidRPr="00C63F7E" w:rsidRDefault="00334272" w:rsidP="00BF08B6">
            <w:pPr>
              <w:rPr>
                <w:rFonts w:cs="Arial"/>
              </w:rPr>
            </w:pPr>
            <w:r w:rsidRPr="00C63F7E">
              <w:rPr>
                <w:rFonts w:cs="Arial"/>
              </w:rPr>
              <w:t>Eastern</w:t>
            </w:r>
          </w:p>
        </w:tc>
        <w:tc>
          <w:tcPr>
            <w:tcW w:w="1276" w:type="dxa"/>
            <w:shd w:val="clear" w:color="auto" w:fill="auto"/>
          </w:tcPr>
          <w:p w:rsidR="00334272" w:rsidRPr="00C63F7E" w:rsidRDefault="00334272" w:rsidP="00BF08B6">
            <w:pPr>
              <w:jc w:val="center"/>
              <w:rPr>
                <w:rFonts w:cs="Arial"/>
              </w:rPr>
            </w:pPr>
            <w:r w:rsidRPr="00C63F7E">
              <w:rPr>
                <w:rFonts w:cs="Arial"/>
              </w:rPr>
              <w:t>12</w:t>
            </w:r>
          </w:p>
        </w:tc>
        <w:tc>
          <w:tcPr>
            <w:tcW w:w="2268" w:type="dxa"/>
            <w:shd w:val="clear" w:color="auto" w:fill="auto"/>
          </w:tcPr>
          <w:p w:rsidR="00334272" w:rsidRPr="00C63F7E" w:rsidRDefault="00334272" w:rsidP="00BF08B6">
            <w:pPr>
              <w:jc w:val="center"/>
              <w:rPr>
                <w:rFonts w:cs="Arial"/>
              </w:rPr>
            </w:pPr>
            <w:r w:rsidRPr="00C63F7E">
              <w:rPr>
                <w:rFonts w:cs="Arial"/>
              </w:rPr>
              <w:t>£6000</w:t>
            </w:r>
          </w:p>
        </w:tc>
      </w:tr>
      <w:tr w:rsidR="00334272" w:rsidRPr="00C63F7E" w:rsidTr="00BF08B6">
        <w:tc>
          <w:tcPr>
            <w:tcW w:w="2693" w:type="dxa"/>
            <w:shd w:val="clear" w:color="auto" w:fill="auto"/>
          </w:tcPr>
          <w:p w:rsidR="00334272" w:rsidRPr="00C63F7E" w:rsidRDefault="00334272" w:rsidP="00BF08B6">
            <w:pPr>
              <w:rPr>
                <w:rFonts w:cs="Arial"/>
              </w:rPr>
            </w:pPr>
            <w:r w:rsidRPr="00C63F7E">
              <w:rPr>
                <w:rFonts w:cs="Arial"/>
              </w:rPr>
              <w:t>Leyland</w:t>
            </w:r>
          </w:p>
        </w:tc>
        <w:tc>
          <w:tcPr>
            <w:tcW w:w="1276" w:type="dxa"/>
            <w:shd w:val="clear" w:color="auto" w:fill="auto"/>
          </w:tcPr>
          <w:p w:rsidR="00334272" w:rsidRPr="00C63F7E" w:rsidRDefault="00334272" w:rsidP="00BF08B6">
            <w:pPr>
              <w:jc w:val="center"/>
              <w:rPr>
                <w:rFonts w:cs="Arial"/>
              </w:rPr>
            </w:pPr>
            <w:r w:rsidRPr="00C63F7E">
              <w:rPr>
                <w:rFonts w:cs="Arial"/>
              </w:rPr>
              <w:t>14</w:t>
            </w:r>
          </w:p>
        </w:tc>
        <w:tc>
          <w:tcPr>
            <w:tcW w:w="2268" w:type="dxa"/>
            <w:shd w:val="clear" w:color="auto" w:fill="auto"/>
          </w:tcPr>
          <w:p w:rsidR="00334272" w:rsidRPr="00C63F7E" w:rsidRDefault="00334272" w:rsidP="00BF08B6">
            <w:pPr>
              <w:jc w:val="center"/>
              <w:rPr>
                <w:rFonts w:cs="Arial"/>
              </w:rPr>
            </w:pPr>
            <w:r w:rsidRPr="00C63F7E">
              <w:rPr>
                <w:rFonts w:cs="Arial"/>
              </w:rPr>
              <w:t>£7000</w:t>
            </w:r>
          </w:p>
        </w:tc>
      </w:tr>
      <w:tr w:rsidR="00334272" w:rsidRPr="00C63F7E" w:rsidTr="00BF08B6">
        <w:tc>
          <w:tcPr>
            <w:tcW w:w="2693" w:type="dxa"/>
            <w:shd w:val="clear" w:color="auto" w:fill="auto"/>
          </w:tcPr>
          <w:p w:rsidR="00334272" w:rsidRPr="00C63F7E" w:rsidRDefault="00334272" w:rsidP="00BF08B6">
            <w:pPr>
              <w:rPr>
                <w:rFonts w:cs="Arial"/>
              </w:rPr>
            </w:pPr>
            <w:r w:rsidRPr="00C63F7E">
              <w:rPr>
                <w:rFonts w:cs="Arial"/>
              </w:rPr>
              <w:t>Penwortham</w:t>
            </w:r>
          </w:p>
        </w:tc>
        <w:tc>
          <w:tcPr>
            <w:tcW w:w="1276" w:type="dxa"/>
            <w:shd w:val="clear" w:color="auto" w:fill="auto"/>
          </w:tcPr>
          <w:p w:rsidR="00334272" w:rsidRPr="00C63F7E" w:rsidRDefault="00334272" w:rsidP="00BF08B6">
            <w:pPr>
              <w:jc w:val="center"/>
              <w:rPr>
                <w:rFonts w:cs="Arial"/>
              </w:rPr>
            </w:pPr>
            <w:r w:rsidRPr="00C63F7E">
              <w:rPr>
                <w:rFonts w:cs="Arial"/>
              </w:rPr>
              <w:t>10</w:t>
            </w:r>
          </w:p>
        </w:tc>
        <w:tc>
          <w:tcPr>
            <w:tcW w:w="2268" w:type="dxa"/>
            <w:shd w:val="clear" w:color="auto" w:fill="auto"/>
          </w:tcPr>
          <w:p w:rsidR="00334272" w:rsidRPr="00C63F7E" w:rsidRDefault="00334272" w:rsidP="00BF08B6">
            <w:pPr>
              <w:jc w:val="center"/>
              <w:rPr>
                <w:rFonts w:cs="Arial"/>
              </w:rPr>
            </w:pPr>
            <w:r w:rsidRPr="00C63F7E">
              <w:rPr>
                <w:rFonts w:cs="Arial"/>
              </w:rPr>
              <w:t>£5000</w:t>
            </w:r>
          </w:p>
        </w:tc>
      </w:tr>
      <w:tr w:rsidR="00334272" w:rsidRPr="00C63F7E" w:rsidTr="00BF08B6">
        <w:tc>
          <w:tcPr>
            <w:tcW w:w="2693" w:type="dxa"/>
            <w:shd w:val="clear" w:color="auto" w:fill="auto"/>
          </w:tcPr>
          <w:p w:rsidR="00334272" w:rsidRPr="00C63F7E" w:rsidRDefault="00334272" w:rsidP="00BF08B6">
            <w:pPr>
              <w:rPr>
                <w:rFonts w:cs="Arial"/>
              </w:rPr>
            </w:pPr>
            <w:r w:rsidRPr="00C63F7E">
              <w:rPr>
                <w:rFonts w:cs="Arial"/>
              </w:rPr>
              <w:t>Western Parishes</w:t>
            </w:r>
          </w:p>
        </w:tc>
        <w:tc>
          <w:tcPr>
            <w:tcW w:w="1276" w:type="dxa"/>
            <w:shd w:val="clear" w:color="auto" w:fill="auto"/>
          </w:tcPr>
          <w:p w:rsidR="00334272" w:rsidRPr="00C63F7E" w:rsidRDefault="00334272" w:rsidP="00BF08B6">
            <w:pPr>
              <w:jc w:val="center"/>
              <w:rPr>
                <w:rFonts w:cs="Arial"/>
              </w:rPr>
            </w:pPr>
            <w:r w:rsidRPr="00C63F7E">
              <w:rPr>
                <w:rFonts w:cs="Arial"/>
              </w:rPr>
              <w:t>7</w:t>
            </w:r>
          </w:p>
        </w:tc>
        <w:tc>
          <w:tcPr>
            <w:tcW w:w="2268" w:type="dxa"/>
            <w:shd w:val="clear" w:color="auto" w:fill="auto"/>
          </w:tcPr>
          <w:p w:rsidR="00334272" w:rsidRPr="00C63F7E" w:rsidRDefault="00334272" w:rsidP="00BF08B6">
            <w:pPr>
              <w:jc w:val="center"/>
              <w:rPr>
                <w:rFonts w:cs="Arial"/>
              </w:rPr>
            </w:pPr>
            <w:r w:rsidRPr="00C63F7E">
              <w:rPr>
                <w:rFonts w:cs="Arial"/>
              </w:rPr>
              <w:t>£3500</w:t>
            </w:r>
          </w:p>
        </w:tc>
      </w:tr>
      <w:tr w:rsidR="00334272" w:rsidRPr="00C63F7E" w:rsidTr="00BF08B6">
        <w:tc>
          <w:tcPr>
            <w:tcW w:w="2693" w:type="dxa"/>
            <w:shd w:val="clear" w:color="auto" w:fill="auto"/>
          </w:tcPr>
          <w:p w:rsidR="00334272" w:rsidRPr="004B51D7" w:rsidRDefault="00334272" w:rsidP="00BF08B6">
            <w:pPr>
              <w:jc w:val="right"/>
              <w:rPr>
                <w:rFonts w:cs="Arial"/>
              </w:rPr>
            </w:pPr>
            <w:r w:rsidRPr="004B51D7">
              <w:rPr>
                <w:rFonts w:cs="Arial"/>
              </w:rPr>
              <w:t>TOTAL</w:t>
            </w:r>
          </w:p>
        </w:tc>
        <w:tc>
          <w:tcPr>
            <w:tcW w:w="1276" w:type="dxa"/>
            <w:shd w:val="clear" w:color="auto" w:fill="auto"/>
          </w:tcPr>
          <w:p w:rsidR="00334272" w:rsidRPr="004B51D7" w:rsidRDefault="00334272" w:rsidP="00BF08B6">
            <w:pPr>
              <w:jc w:val="center"/>
              <w:rPr>
                <w:rFonts w:cs="Arial"/>
              </w:rPr>
            </w:pPr>
            <w:r w:rsidRPr="004B51D7">
              <w:rPr>
                <w:rFonts w:cs="Arial"/>
              </w:rPr>
              <w:t>50</w:t>
            </w:r>
          </w:p>
        </w:tc>
        <w:tc>
          <w:tcPr>
            <w:tcW w:w="2268" w:type="dxa"/>
            <w:shd w:val="clear" w:color="auto" w:fill="auto"/>
          </w:tcPr>
          <w:p w:rsidR="00334272" w:rsidRPr="004B51D7" w:rsidRDefault="00334272" w:rsidP="00BF08B6">
            <w:pPr>
              <w:jc w:val="center"/>
              <w:rPr>
                <w:rFonts w:cs="Arial"/>
              </w:rPr>
            </w:pPr>
            <w:r w:rsidRPr="004B51D7">
              <w:rPr>
                <w:rFonts w:cs="Arial"/>
              </w:rPr>
              <w:t>£25,000</w:t>
            </w:r>
          </w:p>
        </w:tc>
      </w:tr>
    </w:tbl>
    <w:p w:rsidR="00334272" w:rsidRDefault="00334272" w:rsidP="00334272">
      <w:pPr>
        <w:pStyle w:val="ListParagraph"/>
        <w:rPr>
          <w:rFonts w:cs="Arial"/>
        </w:rPr>
      </w:pPr>
    </w:p>
    <w:p w:rsidR="00334272" w:rsidRDefault="00334272" w:rsidP="00334272">
      <w:pPr>
        <w:pStyle w:val="ListParagraph"/>
        <w:rPr>
          <w:rFonts w:cs="Arial"/>
        </w:rPr>
      </w:pPr>
    </w:p>
    <w:p w:rsidR="00334272" w:rsidRDefault="00334272" w:rsidP="00334272">
      <w:pPr>
        <w:pStyle w:val="ListParagraph"/>
        <w:rPr>
          <w:rFonts w:cs="Arial"/>
        </w:rPr>
      </w:pPr>
    </w:p>
    <w:p w:rsidR="00334272" w:rsidRDefault="00334272" w:rsidP="00334272">
      <w:pPr>
        <w:ind w:left="567"/>
        <w:rPr>
          <w:rFonts w:cs="Arial"/>
        </w:rPr>
      </w:pPr>
    </w:p>
    <w:p w:rsidR="00334272" w:rsidRDefault="00334272" w:rsidP="00334272">
      <w:pPr>
        <w:ind w:left="567"/>
        <w:rPr>
          <w:rFonts w:cs="Arial"/>
        </w:rPr>
      </w:pPr>
    </w:p>
    <w:p w:rsidR="00334272" w:rsidRDefault="00334272" w:rsidP="00334272">
      <w:pPr>
        <w:rPr>
          <w:rFonts w:cs="Arial"/>
        </w:rPr>
      </w:pPr>
    </w:p>
    <w:p w:rsidR="00334272" w:rsidRDefault="00334272" w:rsidP="00334272">
      <w:pPr>
        <w:ind w:left="567"/>
        <w:rPr>
          <w:rFonts w:cs="Arial"/>
        </w:rPr>
      </w:pPr>
    </w:p>
    <w:p w:rsidR="00334272" w:rsidRDefault="00334272" w:rsidP="00334272">
      <w:pPr>
        <w:ind w:left="567"/>
        <w:rPr>
          <w:rFonts w:cs="Arial"/>
        </w:rPr>
      </w:pPr>
    </w:p>
    <w:p w:rsidR="00334272" w:rsidRDefault="00334272" w:rsidP="00334272">
      <w:pPr>
        <w:numPr>
          <w:ilvl w:val="1"/>
          <w:numId w:val="1"/>
        </w:numPr>
        <w:ind w:left="567" w:hanging="567"/>
        <w:rPr>
          <w:rFonts w:cs="Arial"/>
        </w:rPr>
      </w:pPr>
      <w:r>
        <w:rPr>
          <w:rFonts w:cs="Arial"/>
        </w:rPr>
        <w:t>Neighbourhood Plans</w:t>
      </w:r>
      <w:r w:rsidR="00447CA5">
        <w:rPr>
          <w:rFonts w:cs="Arial"/>
        </w:rPr>
        <w:t xml:space="preserve">, and associated major capital projects, </w:t>
      </w:r>
      <w:r>
        <w:rPr>
          <w:rFonts w:cs="Arial"/>
        </w:rPr>
        <w:t xml:space="preserve">are aligned with the Medium Term Financial Strategy and Corporate Plan.  The existing approach of seeking external monies at every opportunity will continue; ensuring the Council levers in funding to make our own resources stretch further.  </w:t>
      </w:r>
    </w:p>
    <w:p w:rsidR="00334272" w:rsidRDefault="00334272" w:rsidP="00334272">
      <w:pPr>
        <w:rPr>
          <w:rFonts w:cs="Arial"/>
        </w:rPr>
      </w:pPr>
    </w:p>
    <w:p w:rsidR="00334272" w:rsidRDefault="00334272" w:rsidP="00334272">
      <w:pPr>
        <w:numPr>
          <w:ilvl w:val="0"/>
          <w:numId w:val="1"/>
        </w:numPr>
        <w:ind w:left="567" w:hanging="567"/>
        <w:rPr>
          <w:rFonts w:cs="Arial"/>
          <w:b/>
          <w:caps/>
        </w:rPr>
      </w:pPr>
      <w:r w:rsidRPr="00491976">
        <w:rPr>
          <w:rFonts w:cs="Arial"/>
          <w:b/>
          <w:caps/>
        </w:rPr>
        <w:t>Human Resources and Organisational Development implications</w:t>
      </w:r>
    </w:p>
    <w:p w:rsidR="00334272" w:rsidRDefault="00334272" w:rsidP="00334272">
      <w:pPr>
        <w:ind w:left="567"/>
        <w:rPr>
          <w:rFonts w:cs="Arial"/>
          <w:b/>
          <w:caps/>
        </w:rPr>
      </w:pPr>
    </w:p>
    <w:p w:rsidR="00334272" w:rsidRPr="00CF57AD" w:rsidRDefault="00334272" w:rsidP="00334272">
      <w:pPr>
        <w:numPr>
          <w:ilvl w:val="1"/>
          <w:numId w:val="1"/>
        </w:numPr>
        <w:ind w:left="567" w:hanging="567"/>
        <w:rPr>
          <w:rFonts w:cs="Arial"/>
        </w:rPr>
      </w:pPr>
      <w:r>
        <w:rPr>
          <w:rFonts w:cs="Arial"/>
        </w:rPr>
        <w:t>At this stage, it is anticipated that plans will be delivered within existing resources.  Any potential changes or additional needs will be subject to further discussion and decision making.</w:t>
      </w:r>
    </w:p>
    <w:p w:rsidR="00334272" w:rsidRDefault="00334272" w:rsidP="00334272">
      <w:pPr>
        <w:rPr>
          <w:rFonts w:cs="Arial"/>
          <w:b/>
        </w:rPr>
      </w:pPr>
    </w:p>
    <w:p w:rsidR="00334272" w:rsidRDefault="00334272" w:rsidP="00334272">
      <w:pPr>
        <w:numPr>
          <w:ilvl w:val="0"/>
          <w:numId w:val="1"/>
        </w:numPr>
        <w:ind w:left="567" w:hanging="567"/>
        <w:rPr>
          <w:rFonts w:cs="Arial"/>
          <w:b/>
          <w:caps/>
        </w:rPr>
      </w:pPr>
      <w:r w:rsidRPr="00491976">
        <w:rPr>
          <w:rFonts w:cs="Arial"/>
          <w:b/>
          <w:caps/>
        </w:rPr>
        <w:t>ICT/technology implications</w:t>
      </w:r>
    </w:p>
    <w:p w:rsidR="00334272" w:rsidRDefault="00334272" w:rsidP="00334272">
      <w:pPr>
        <w:ind w:left="567"/>
        <w:rPr>
          <w:rFonts w:cs="Arial"/>
          <w:b/>
          <w:caps/>
        </w:rPr>
      </w:pPr>
    </w:p>
    <w:p w:rsidR="00334272" w:rsidRPr="00CF57AD" w:rsidRDefault="00EC232E" w:rsidP="00334272">
      <w:pPr>
        <w:numPr>
          <w:ilvl w:val="1"/>
          <w:numId w:val="1"/>
        </w:numPr>
        <w:ind w:left="567" w:hanging="567"/>
        <w:rPr>
          <w:rFonts w:cs="Arial"/>
        </w:rPr>
      </w:pPr>
      <w:r>
        <w:rPr>
          <w:rFonts w:cs="Arial"/>
        </w:rPr>
        <w:t>At this time there are no specific ICT implications.</w:t>
      </w:r>
    </w:p>
    <w:p w:rsidR="00334272" w:rsidRDefault="00334272" w:rsidP="00334272">
      <w:pPr>
        <w:rPr>
          <w:rFonts w:cs="Arial"/>
          <w:b/>
        </w:rPr>
      </w:pPr>
    </w:p>
    <w:p w:rsidR="00334272" w:rsidRDefault="00334272" w:rsidP="00334272">
      <w:pPr>
        <w:numPr>
          <w:ilvl w:val="0"/>
          <w:numId w:val="1"/>
        </w:numPr>
        <w:ind w:left="567" w:hanging="567"/>
        <w:rPr>
          <w:rFonts w:cs="Arial"/>
          <w:b/>
          <w:caps/>
        </w:rPr>
      </w:pPr>
      <w:r w:rsidRPr="00491976">
        <w:rPr>
          <w:rFonts w:cs="Arial"/>
          <w:b/>
          <w:caps/>
        </w:rPr>
        <w:t>Property and Asset Management implications</w:t>
      </w:r>
    </w:p>
    <w:p w:rsidR="00334272" w:rsidRDefault="00334272" w:rsidP="00334272">
      <w:pPr>
        <w:ind w:left="567"/>
        <w:rPr>
          <w:rFonts w:cs="Arial"/>
          <w:b/>
          <w:caps/>
        </w:rPr>
      </w:pPr>
    </w:p>
    <w:p w:rsidR="00EC232E" w:rsidRPr="00CF57AD" w:rsidRDefault="00EC232E" w:rsidP="00EC232E">
      <w:pPr>
        <w:numPr>
          <w:ilvl w:val="1"/>
          <w:numId w:val="1"/>
        </w:numPr>
        <w:ind w:left="567" w:hanging="567"/>
        <w:rPr>
          <w:rFonts w:cs="Arial"/>
        </w:rPr>
      </w:pPr>
      <w:r>
        <w:rPr>
          <w:rFonts w:cs="Arial"/>
        </w:rPr>
        <w:t>At this time there are no specific property &amp; asset implications.</w:t>
      </w:r>
    </w:p>
    <w:p w:rsidR="00334272" w:rsidRPr="006D1F02" w:rsidRDefault="00334272" w:rsidP="00334272">
      <w:pPr>
        <w:rPr>
          <w:rFonts w:cs="Arial"/>
          <w:b/>
        </w:rPr>
      </w:pPr>
    </w:p>
    <w:p w:rsidR="00334272" w:rsidRDefault="00334272" w:rsidP="00334272">
      <w:pPr>
        <w:numPr>
          <w:ilvl w:val="0"/>
          <w:numId w:val="1"/>
        </w:numPr>
        <w:ind w:left="567" w:hanging="567"/>
        <w:rPr>
          <w:rFonts w:cs="Arial"/>
          <w:b/>
        </w:rPr>
      </w:pPr>
      <w:r>
        <w:rPr>
          <w:rFonts w:cs="Arial"/>
          <w:b/>
        </w:rPr>
        <w:t>RISK MANAGEMENT</w:t>
      </w:r>
    </w:p>
    <w:p w:rsidR="00334272" w:rsidRDefault="00334272" w:rsidP="00334272">
      <w:pPr>
        <w:ind w:left="567"/>
        <w:rPr>
          <w:rFonts w:cs="Arial"/>
          <w:b/>
        </w:rPr>
      </w:pPr>
    </w:p>
    <w:p w:rsidR="00334272" w:rsidRDefault="00334272" w:rsidP="00334272">
      <w:pPr>
        <w:numPr>
          <w:ilvl w:val="1"/>
          <w:numId w:val="1"/>
        </w:numPr>
        <w:ind w:left="567" w:hanging="567"/>
        <w:rPr>
          <w:rFonts w:cs="Arial"/>
        </w:rPr>
      </w:pPr>
      <w:r>
        <w:rPr>
          <w:rFonts w:cs="Arial"/>
        </w:rPr>
        <w:t>Each of the projects contained in the Neighbourhood Plans has an element of risk; through the scoping process and discussions with Forum Chairs and Responsible Members (who sponsor projects), an assessment is carried out as to the level of risk and potential mitigation.</w:t>
      </w:r>
    </w:p>
    <w:p w:rsidR="00334272" w:rsidRDefault="00334272" w:rsidP="00334272">
      <w:pPr>
        <w:ind w:left="567"/>
        <w:rPr>
          <w:rFonts w:cs="Arial"/>
        </w:rPr>
      </w:pPr>
    </w:p>
    <w:p w:rsidR="00334272" w:rsidRDefault="00334272" w:rsidP="00334272">
      <w:pPr>
        <w:numPr>
          <w:ilvl w:val="1"/>
          <w:numId w:val="1"/>
        </w:numPr>
        <w:ind w:left="567" w:hanging="567"/>
        <w:rPr>
          <w:rFonts w:cs="Arial"/>
        </w:rPr>
      </w:pPr>
      <w:r>
        <w:rPr>
          <w:rFonts w:cs="Arial"/>
        </w:rPr>
        <w:t>A scoring matrix which each project is assessed against measures viability, value for money, impact and community involvement.</w:t>
      </w:r>
    </w:p>
    <w:p w:rsidR="002F11E6" w:rsidRDefault="002F11E6" w:rsidP="002F11E6">
      <w:pPr>
        <w:rPr>
          <w:rFonts w:cs="Arial"/>
        </w:rPr>
      </w:pPr>
    </w:p>
    <w:p w:rsidR="00334272" w:rsidRPr="004B776B" w:rsidRDefault="00334272" w:rsidP="00334272">
      <w:pPr>
        <w:numPr>
          <w:ilvl w:val="1"/>
          <w:numId w:val="1"/>
        </w:numPr>
        <w:ind w:left="567" w:hanging="567"/>
        <w:rPr>
          <w:rFonts w:cs="Arial"/>
        </w:rPr>
      </w:pPr>
      <w:r>
        <w:rPr>
          <w:rFonts w:cs="Arial"/>
        </w:rPr>
        <w:t>For projects with higher risk, e.g. community events, a full risk assessment is carried out as part of the event management plan.  Where appropriate, this is carried out with partners as a multi-agency approach.</w:t>
      </w:r>
      <w:r w:rsidR="002F11E6">
        <w:rPr>
          <w:rFonts w:cs="Arial"/>
        </w:rPr>
        <w:t xml:space="preserve">    Borough wide, support given through </w:t>
      </w:r>
      <w:r w:rsidR="005B2D82">
        <w:rPr>
          <w:rFonts w:cs="Arial"/>
        </w:rPr>
        <w:t>Neighbourhood F</w:t>
      </w:r>
      <w:r w:rsidR="002F11E6">
        <w:rPr>
          <w:rFonts w:cs="Arial"/>
        </w:rPr>
        <w:t>orums with event management enables c</w:t>
      </w:r>
      <w:r w:rsidR="005B2D82">
        <w:rPr>
          <w:rFonts w:cs="Arial"/>
        </w:rPr>
        <w:t>ommunity groups to successfully deliver local events.</w:t>
      </w:r>
    </w:p>
    <w:p w:rsidR="00334272" w:rsidRPr="003B0665" w:rsidRDefault="00334272" w:rsidP="00334272">
      <w:pPr>
        <w:ind w:left="567"/>
        <w:rPr>
          <w:rFonts w:cs="Arial"/>
          <w:b/>
          <w:color w:val="FF0000"/>
        </w:rPr>
      </w:pPr>
    </w:p>
    <w:p w:rsidR="00334272" w:rsidRDefault="00334272" w:rsidP="00334272">
      <w:pPr>
        <w:numPr>
          <w:ilvl w:val="0"/>
          <w:numId w:val="1"/>
        </w:numPr>
        <w:ind w:left="567" w:hanging="567"/>
        <w:rPr>
          <w:rFonts w:cs="Arial"/>
          <w:b/>
        </w:rPr>
      </w:pPr>
      <w:r w:rsidRPr="005404A1">
        <w:rPr>
          <w:rFonts w:cs="Arial"/>
          <w:b/>
        </w:rPr>
        <w:t xml:space="preserve">EQUALITY </w:t>
      </w:r>
      <w:r>
        <w:rPr>
          <w:rFonts w:cs="Arial"/>
          <w:b/>
        </w:rPr>
        <w:t xml:space="preserve">AND DIVERSITY </w:t>
      </w:r>
      <w:r w:rsidRPr="005404A1">
        <w:rPr>
          <w:rFonts w:cs="Arial"/>
          <w:b/>
        </w:rPr>
        <w:t>IMPACT</w:t>
      </w:r>
    </w:p>
    <w:p w:rsidR="00334272" w:rsidRDefault="00334272" w:rsidP="00334272">
      <w:pPr>
        <w:rPr>
          <w:rFonts w:cs="Arial"/>
          <w:b/>
        </w:rPr>
      </w:pPr>
    </w:p>
    <w:p w:rsidR="00334272" w:rsidRPr="00B5261A" w:rsidRDefault="00334272" w:rsidP="00334272">
      <w:pPr>
        <w:numPr>
          <w:ilvl w:val="1"/>
          <w:numId w:val="1"/>
        </w:numPr>
        <w:ind w:left="567" w:hanging="567"/>
        <w:rPr>
          <w:rFonts w:cs="Arial"/>
        </w:rPr>
      </w:pPr>
      <w:r w:rsidRPr="00B5261A">
        <w:rPr>
          <w:rFonts w:cs="Arial"/>
        </w:rPr>
        <w:t>Projects contained within the Neighbourhood Plans are designed to be inclusive, accessible and bring communities together.</w:t>
      </w:r>
    </w:p>
    <w:p w:rsidR="00334272" w:rsidRPr="00B5261A" w:rsidRDefault="00334272" w:rsidP="00334272">
      <w:pPr>
        <w:ind w:left="360"/>
        <w:rPr>
          <w:rFonts w:cs="Arial"/>
        </w:rPr>
      </w:pPr>
    </w:p>
    <w:p w:rsidR="00334272" w:rsidRPr="00B5261A" w:rsidRDefault="00334272" w:rsidP="00334272">
      <w:pPr>
        <w:numPr>
          <w:ilvl w:val="1"/>
          <w:numId w:val="1"/>
        </w:numPr>
        <w:ind w:left="567" w:hanging="567"/>
        <w:rPr>
          <w:rFonts w:cs="Arial"/>
        </w:rPr>
      </w:pPr>
      <w:r w:rsidRPr="00B5261A">
        <w:rPr>
          <w:rFonts w:cs="Arial"/>
        </w:rPr>
        <w:t>An Equality Impact Assessment has been carried out for each of the plans; there are no potential negative impacts on any of the protected groups.</w:t>
      </w:r>
    </w:p>
    <w:p w:rsidR="00334272" w:rsidRDefault="00334272" w:rsidP="00334272">
      <w:pPr>
        <w:pStyle w:val="ListParagraph"/>
        <w:ind w:left="426"/>
        <w:rPr>
          <w:rFonts w:ascii="Arial" w:hAnsi="Arial" w:cs="Arial"/>
          <w:b/>
        </w:rPr>
      </w:pPr>
    </w:p>
    <w:p w:rsidR="00334272" w:rsidRDefault="00334272" w:rsidP="00334272">
      <w:pPr>
        <w:pStyle w:val="ListParagraph"/>
        <w:numPr>
          <w:ilvl w:val="0"/>
          <w:numId w:val="1"/>
        </w:numPr>
        <w:ind w:left="567" w:hanging="567"/>
        <w:rPr>
          <w:rFonts w:ascii="Arial" w:hAnsi="Arial" w:cs="Arial"/>
          <w:b/>
        </w:rPr>
      </w:pPr>
      <w:r w:rsidRPr="000461FF">
        <w:rPr>
          <w:rFonts w:ascii="Arial" w:hAnsi="Arial" w:cs="Arial"/>
          <w:b/>
        </w:rPr>
        <w:lastRenderedPageBreak/>
        <w:t xml:space="preserve">RELEVANT DIRECTORS </w:t>
      </w:r>
      <w:r>
        <w:rPr>
          <w:rFonts w:ascii="Arial" w:hAnsi="Arial" w:cs="Arial"/>
          <w:b/>
        </w:rPr>
        <w:t xml:space="preserve">RECOMMENDATIONS </w:t>
      </w:r>
    </w:p>
    <w:p w:rsidR="006D5629" w:rsidRPr="006D5629" w:rsidRDefault="006D5629" w:rsidP="00D363CD">
      <w:pPr>
        <w:numPr>
          <w:ilvl w:val="1"/>
          <w:numId w:val="1"/>
        </w:numPr>
        <w:ind w:left="284" w:hanging="284"/>
        <w:rPr>
          <w:color w:val="000000" w:themeColor="text1"/>
          <w:szCs w:val="22"/>
        </w:rPr>
      </w:pPr>
      <w:r w:rsidRPr="006D5629">
        <w:rPr>
          <w:color w:val="000000" w:themeColor="text1"/>
          <w:szCs w:val="22"/>
        </w:rPr>
        <w:t>That Cabinet approves 2018/19 Neighbourhood Plans.</w:t>
      </w:r>
    </w:p>
    <w:p w:rsidR="006D5629" w:rsidRPr="006D5629" w:rsidRDefault="006D5629" w:rsidP="006D5629">
      <w:pPr>
        <w:ind w:left="284" w:hanging="426"/>
        <w:rPr>
          <w:b/>
          <w:color w:val="000000" w:themeColor="text1"/>
          <w:szCs w:val="22"/>
        </w:rPr>
      </w:pPr>
    </w:p>
    <w:p w:rsidR="00334272" w:rsidRDefault="00334272" w:rsidP="00334272">
      <w:pPr>
        <w:numPr>
          <w:ilvl w:val="0"/>
          <w:numId w:val="1"/>
        </w:numPr>
        <w:ind w:left="567" w:hanging="567"/>
        <w:rPr>
          <w:rFonts w:cs="Arial"/>
          <w:b/>
        </w:rPr>
      </w:pPr>
      <w:r w:rsidRPr="000A68B2">
        <w:rPr>
          <w:rFonts w:cs="Arial"/>
          <w:b/>
        </w:rPr>
        <w:t>C</w:t>
      </w:r>
      <w:r>
        <w:rPr>
          <w:rFonts w:cs="Arial"/>
          <w:b/>
        </w:rPr>
        <w:t>OMMENTS OF THE STATUTORY FINANCE OFFICER</w:t>
      </w:r>
    </w:p>
    <w:p w:rsidR="00334272" w:rsidRPr="000427E0" w:rsidRDefault="00334272" w:rsidP="00334272">
      <w:pPr>
        <w:ind w:left="567"/>
        <w:rPr>
          <w:rFonts w:cs="Arial"/>
          <w:b/>
        </w:rPr>
      </w:pPr>
    </w:p>
    <w:p w:rsidR="00334272" w:rsidRPr="00D10FFE" w:rsidRDefault="00334272" w:rsidP="00334272">
      <w:pPr>
        <w:numPr>
          <w:ilvl w:val="1"/>
          <w:numId w:val="1"/>
        </w:numPr>
        <w:ind w:left="567" w:hanging="567"/>
        <w:rPr>
          <w:rFonts w:cs="Arial"/>
        </w:rPr>
      </w:pPr>
      <w:r w:rsidRPr="00D10FFE">
        <w:rPr>
          <w:rFonts w:cs="Arial"/>
        </w:rPr>
        <w:t>The Council’s medium-term financial strategy and budget plan includes a total annual ‘core fund’ budget of £25,000 for the five My Neighbourhood Forums.  Where projects contained in My Neighbourhood Plans are appropriate, Section 106 funding from developments can be used as part of the capital programme.  Any S106 allocations recommended by the five My Neighbourhood Forums for inclusion in the capital programme are subject to checks by financial and legal services.</w:t>
      </w:r>
    </w:p>
    <w:p w:rsidR="00334272" w:rsidRPr="00D10FFE" w:rsidRDefault="00334272" w:rsidP="00334272">
      <w:pPr>
        <w:ind w:left="567"/>
        <w:rPr>
          <w:rFonts w:cs="Arial"/>
        </w:rPr>
      </w:pPr>
    </w:p>
    <w:p w:rsidR="00334272" w:rsidRPr="00D10FFE" w:rsidRDefault="00334272" w:rsidP="00334272">
      <w:pPr>
        <w:numPr>
          <w:ilvl w:val="1"/>
          <w:numId w:val="1"/>
        </w:numPr>
        <w:ind w:left="567" w:hanging="567"/>
        <w:rPr>
          <w:rFonts w:cs="Arial"/>
        </w:rPr>
      </w:pPr>
      <w:r w:rsidRPr="00D10FFE">
        <w:rPr>
          <w:rFonts w:cs="Arial"/>
        </w:rPr>
        <w:t xml:space="preserve">The total capital project costs may be higher than the Council's allocations as they may include additional third party contributions. The capital projects included in the Plans will be subject to the Council's procedures for approval. The revenue implications will need to be identified for these capital projects and the funding of any future revenue costs identified before they can be approved.  </w:t>
      </w:r>
    </w:p>
    <w:p w:rsidR="00334272" w:rsidRPr="004206AE" w:rsidRDefault="00334272" w:rsidP="00334272">
      <w:pPr>
        <w:rPr>
          <w:rFonts w:cs="Arial"/>
          <w:b/>
          <w:i/>
        </w:rPr>
      </w:pPr>
    </w:p>
    <w:p w:rsidR="00334272" w:rsidRDefault="00334272" w:rsidP="00334272">
      <w:pPr>
        <w:numPr>
          <w:ilvl w:val="0"/>
          <w:numId w:val="1"/>
        </w:numPr>
        <w:ind w:left="567" w:hanging="567"/>
        <w:rPr>
          <w:rFonts w:cs="Arial"/>
          <w:b/>
        </w:rPr>
      </w:pPr>
      <w:r w:rsidRPr="000A68B2">
        <w:rPr>
          <w:rFonts w:cs="Arial"/>
          <w:b/>
        </w:rPr>
        <w:t>C</w:t>
      </w:r>
      <w:r>
        <w:rPr>
          <w:rFonts w:cs="Arial"/>
          <w:b/>
        </w:rPr>
        <w:t>OMMENTS OF THE MONITORING OFFICER</w:t>
      </w:r>
    </w:p>
    <w:p w:rsidR="00334272" w:rsidRPr="00D10FFE" w:rsidRDefault="00334272" w:rsidP="00334272">
      <w:pPr>
        <w:ind w:left="567"/>
        <w:rPr>
          <w:rFonts w:cs="Arial"/>
          <w:b/>
        </w:rPr>
      </w:pPr>
    </w:p>
    <w:p w:rsidR="00334272" w:rsidRPr="00D10FFE" w:rsidRDefault="00334272" w:rsidP="00334272">
      <w:pPr>
        <w:numPr>
          <w:ilvl w:val="1"/>
          <w:numId w:val="1"/>
        </w:numPr>
        <w:ind w:left="567" w:hanging="567"/>
        <w:rPr>
          <w:rFonts w:cs="Arial"/>
        </w:rPr>
      </w:pPr>
      <w:r w:rsidRPr="00D10FFE">
        <w:rPr>
          <w:rFonts w:cs="Arial"/>
        </w:rPr>
        <w:t>As the projects addressing the priorities evolve, if it is proposed to use section 106 monies to fund a particular scheme then the Legal services team will need to check whether the terms of the relevant section 106 agreement would permit such use.</w:t>
      </w:r>
    </w:p>
    <w:p w:rsidR="00334272" w:rsidRPr="00D10FFE" w:rsidRDefault="00334272" w:rsidP="00334272">
      <w:pPr>
        <w:ind w:left="567" w:hanging="567"/>
        <w:rPr>
          <w:rFonts w:cs="Arial"/>
        </w:rPr>
      </w:pPr>
    </w:p>
    <w:p w:rsidR="00334272" w:rsidRPr="00D10FFE" w:rsidRDefault="00334272" w:rsidP="00334272">
      <w:pPr>
        <w:numPr>
          <w:ilvl w:val="1"/>
          <w:numId w:val="1"/>
        </w:numPr>
        <w:ind w:left="567" w:hanging="567"/>
        <w:rPr>
          <w:rFonts w:cs="Arial"/>
        </w:rPr>
      </w:pPr>
      <w:r w:rsidRPr="00D10FFE">
        <w:rPr>
          <w:rFonts w:cs="Arial"/>
        </w:rPr>
        <w:t>The vast majority of the section 106 monies we have should only be used for providing – or improving/enhancing – open space facilities within reasonable proximity to the planning site in question.</w:t>
      </w:r>
    </w:p>
    <w:p w:rsidR="00334272" w:rsidRDefault="00334272" w:rsidP="00334272">
      <w:pPr>
        <w:ind w:left="567"/>
        <w:rPr>
          <w:rFonts w:cs="Arial"/>
          <w:b/>
        </w:rPr>
      </w:pPr>
    </w:p>
    <w:p w:rsidR="00334272" w:rsidRDefault="00334272" w:rsidP="00334272">
      <w:pPr>
        <w:numPr>
          <w:ilvl w:val="0"/>
          <w:numId w:val="1"/>
        </w:numPr>
        <w:ind w:left="567" w:hanging="567"/>
        <w:rPr>
          <w:rFonts w:cs="Arial"/>
          <w:b/>
        </w:rPr>
      </w:pPr>
      <w:r w:rsidRPr="000427E0">
        <w:rPr>
          <w:rFonts w:cs="Arial"/>
          <w:b/>
        </w:rPr>
        <w:t xml:space="preserve">BACKGROUND DOCUMENTS </w:t>
      </w:r>
    </w:p>
    <w:p w:rsidR="00334272" w:rsidRDefault="00334272" w:rsidP="00334272">
      <w:pPr>
        <w:ind w:left="567"/>
        <w:rPr>
          <w:rFonts w:cs="Arial"/>
          <w:b/>
        </w:rPr>
      </w:pPr>
    </w:p>
    <w:p w:rsidR="00334272" w:rsidRPr="003A2919" w:rsidRDefault="005B252A" w:rsidP="005B252A">
      <w:pPr>
        <w:tabs>
          <w:tab w:val="left" w:pos="2839"/>
        </w:tabs>
        <w:ind w:left="1146" w:hanging="1146"/>
      </w:pPr>
      <w:r>
        <w:t xml:space="preserve">17.1   </w:t>
      </w:r>
      <w:r w:rsidR="00334272" w:rsidRPr="003A2919">
        <w:t>Appendix A</w:t>
      </w:r>
      <w:r w:rsidR="00334272">
        <w:t xml:space="preserve"> – My Neighbourhood Plans 2018/19 (attached)</w:t>
      </w:r>
    </w:p>
    <w:p w:rsidR="005B252A" w:rsidRDefault="005B252A" w:rsidP="00334272">
      <w:pPr>
        <w:ind w:left="567"/>
        <w:rPr>
          <w:rFonts w:cs="Arial"/>
        </w:rPr>
      </w:pPr>
    </w:p>
    <w:p w:rsidR="00334272" w:rsidRPr="00447CA5" w:rsidRDefault="005B252A" w:rsidP="005B252A">
      <w:pPr>
        <w:ind w:left="567" w:hanging="567"/>
        <w:rPr>
          <w:rFonts w:cs="Arial"/>
        </w:rPr>
      </w:pPr>
      <w:r>
        <w:rPr>
          <w:rFonts w:cs="Arial"/>
        </w:rPr>
        <w:t xml:space="preserve">17.2  </w:t>
      </w:r>
      <w:r w:rsidR="00447CA5" w:rsidRPr="00447CA5">
        <w:rPr>
          <w:rFonts w:cs="Arial"/>
        </w:rPr>
        <w:t xml:space="preserve"> </w:t>
      </w:r>
      <w:r w:rsidR="00447CA5">
        <w:rPr>
          <w:rFonts w:cs="Arial"/>
        </w:rPr>
        <w:t>My Nei</w:t>
      </w:r>
      <w:r w:rsidR="00D363CD">
        <w:rPr>
          <w:rFonts w:cs="Arial"/>
        </w:rPr>
        <w:t>ghbourhood Annual Report 20</w:t>
      </w:r>
      <w:r>
        <w:rPr>
          <w:rFonts w:cs="Arial"/>
        </w:rPr>
        <w:t>1</w:t>
      </w:r>
      <w:r w:rsidR="00D363CD">
        <w:rPr>
          <w:rFonts w:cs="Arial"/>
        </w:rPr>
        <w:t>7/18</w:t>
      </w:r>
    </w:p>
    <w:p w:rsidR="00334272" w:rsidRDefault="00334272" w:rsidP="00334272">
      <w:pPr>
        <w:tabs>
          <w:tab w:val="left" w:pos="2839"/>
        </w:tabs>
        <w:ind w:left="1146"/>
        <w:rPr>
          <w:b/>
        </w:rPr>
      </w:pPr>
    </w:p>
    <w:p w:rsidR="00334272" w:rsidRDefault="00334272" w:rsidP="00334272">
      <w:pPr>
        <w:tabs>
          <w:tab w:val="left" w:pos="2839"/>
        </w:tabs>
        <w:ind w:left="1146"/>
        <w:rPr>
          <w:b/>
        </w:rPr>
      </w:pPr>
    </w:p>
    <w:p w:rsidR="00334272" w:rsidRPr="00C939A1" w:rsidRDefault="00334272" w:rsidP="00334272">
      <w:pPr>
        <w:tabs>
          <w:tab w:val="left" w:pos="2839"/>
        </w:tabs>
        <w:ind w:left="426" w:hanging="426"/>
        <w:rPr>
          <w:rFonts w:cs="Arial"/>
        </w:rPr>
      </w:pPr>
      <w:r w:rsidRPr="00C939A1">
        <w:rPr>
          <w:rFonts w:cs="Arial"/>
        </w:rPr>
        <w:t>Jonathan Noad</w:t>
      </w:r>
    </w:p>
    <w:p w:rsidR="00334272" w:rsidRPr="00C939A1" w:rsidRDefault="00D10FFE" w:rsidP="00334272">
      <w:pPr>
        <w:tabs>
          <w:tab w:val="left" w:pos="2839"/>
        </w:tabs>
        <w:rPr>
          <w:rFonts w:cs="Arial"/>
        </w:rPr>
      </w:pPr>
      <w:r>
        <w:rPr>
          <w:rFonts w:cs="Arial"/>
        </w:rPr>
        <w:t>Director of Planning and Property</w:t>
      </w:r>
    </w:p>
    <w:p w:rsidR="00334272" w:rsidRDefault="00334272" w:rsidP="00334272">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2279"/>
        <w:gridCol w:w="2351"/>
      </w:tblGrid>
      <w:tr w:rsidR="00334272" w:rsidTr="00447CA5">
        <w:tc>
          <w:tcPr>
            <w:tcW w:w="4890" w:type="dxa"/>
            <w:shd w:val="clear" w:color="auto" w:fill="auto"/>
          </w:tcPr>
          <w:p w:rsidR="00334272" w:rsidRPr="0031059E" w:rsidRDefault="00334272" w:rsidP="00BF08B6">
            <w:pPr>
              <w:rPr>
                <w:rFonts w:cs="Arial"/>
              </w:rPr>
            </w:pPr>
            <w:r w:rsidRPr="0031059E">
              <w:rPr>
                <w:rFonts w:cs="Arial"/>
              </w:rPr>
              <w:t>Report Author:</w:t>
            </w:r>
          </w:p>
        </w:tc>
        <w:tc>
          <w:tcPr>
            <w:tcW w:w="2279" w:type="dxa"/>
            <w:shd w:val="clear" w:color="auto" w:fill="auto"/>
          </w:tcPr>
          <w:p w:rsidR="00334272" w:rsidRPr="0031059E" w:rsidRDefault="00334272" w:rsidP="00BF08B6">
            <w:pPr>
              <w:rPr>
                <w:rFonts w:cs="Arial"/>
              </w:rPr>
            </w:pPr>
            <w:r w:rsidRPr="0031059E">
              <w:rPr>
                <w:rFonts w:cs="Arial"/>
              </w:rPr>
              <w:t>Telephone:</w:t>
            </w:r>
          </w:p>
        </w:tc>
        <w:tc>
          <w:tcPr>
            <w:tcW w:w="2351" w:type="dxa"/>
            <w:shd w:val="clear" w:color="auto" w:fill="auto"/>
          </w:tcPr>
          <w:p w:rsidR="00334272" w:rsidRPr="0031059E" w:rsidRDefault="00334272" w:rsidP="00BF08B6">
            <w:pPr>
              <w:rPr>
                <w:rFonts w:cs="Arial"/>
              </w:rPr>
            </w:pPr>
            <w:r w:rsidRPr="0031059E">
              <w:rPr>
                <w:rFonts w:cs="Arial"/>
              </w:rPr>
              <w:t>Date:</w:t>
            </w:r>
          </w:p>
        </w:tc>
      </w:tr>
      <w:tr w:rsidR="00334272" w:rsidTr="00447CA5">
        <w:trPr>
          <w:trHeight w:val="493"/>
        </w:trPr>
        <w:tc>
          <w:tcPr>
            <w:tcW w:w="4890" w:type="dxa"/>
            <w:shd w:val="clear" w:color="auto" w:fill="auto"/>
            <w:vAlign w:val="center"/>
          </w:tcPr>
          <w:p w:rsidR="00334272" w:rsidRPr="0031059E" w:rsidRDefault="00334272" w:rsidP="00BF08B6">
            <w:pPr>
              <w:ind w:left="-539" w:firstLine="539"/>
              <w:rPr>
                <w:rFonts w:cs="Arial"/>
              </w:rPr>
            </w:pPr>
            <w:r>
              <w:rPr>
                <w:rFonts w:cs="Arial"/>
              </w:rPr>
              <w:t>Rebecca Heap</w:t>
            </w:r>
          </w:p>
        </w:tc>
        <w:tc>
          <w:tcPr>
            <w:tcW w:w="2279" w:type="dxa"/>
            <w:shd w:val="clear" w:color="auto" w:fill="auto"/>
            <w:vAlign w:val="center"/>
          </w:tcPr>
          <w:p w:rsidR="00334272" w:rsidRPr="0031059E" w:rsidRDefault="00334272" w:rsidP="00BF08B6">
            <w:pPr>
              <w:rPr>
                <w:rFonts w:cs="Arial"/>
              </w:rPr>
            </w:pPr>
            <w:r>
              <w:rPr>
                <w:rFonts w:cs="Arial"/>
              </w:rPr>
              <w:t>01772 625276</w:t>
            </w:r>
          </w:p>
        </w:tc>
        <w:tc>
          <w:tcPr>
            <w:tcW w:w="2351" w:type="dxa"/>
            <w:shd w:val="clear" w:color="auto" w:fill="auto"/>
            <w:vAlign w:val="center"/>
          </w:tcPr>
          <w:p w:rsidR="00334272" w:rsidRPr="0031059E" w:rsidRDefault="00334272" w:rsidP="00BF08B6">
            <w:pPr>
              <w:rPr>
                <w:rFonts w:cs="Arial"/>
              </w:rPr>
            </w:pPr>
            <w:r>
              <w:rPr>
                <w:rFonts w:cs="Arial"/>
              </w:rPr>
              <w:t>6 March 2018</w:t>
            </w:r>
          </w:p>
        </w:tc>
      </w:tr>
    </w:tbl>
    <w:p w:rsidR="00334272" w:rsidRPr="009725FB" w:rsidRDefault="00334272" w:rsidP="00447CA5">
      <w:pPr>
        <w:rPr>
          <w:rFonts w:cs="Arial"/>
        </w:rPr>
      </w:pPr>
    </w:p>
    <w:p w:rsidR="00C33C13" w:rsidRDefault="00C33C13"/>
    <w:sectPr w:rsidR="00C33C13" w:rsidSect="00334272">
      <w:footerReference w:type="default" r:id="rId8"/>
      <w:pgSz w:w="11906" w:h="16838" w:code="9"/>
      <w:pgMar w:top="1134" w:right="1134" w:bottom="964" w:left="1134" w:header="720" w:footer="28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690" w:rsidRDefault="005A5690" w:rsidP="00334272">
      <w:r>
        <w:separator/>
      </w:r>
    </w:p>
  </w:endnote>
  <w:endnote w:type="continuationSeparator" w:id="0">
    <w:p w:rsidR="005A5690" w:rsidRDefault="005A5690" w:rsidP="0033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65" w:rsidRPr="00FD7B65" w:rsidRDefault="00C44EBE">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941000">
      <w:rPr>
        <w:noProof/>
        <w:sz w:val="24"/>
      </w:rPr>
      <w:t>4</w:t>
    </w:r>
    <w:r w:rsidRPr="00FD7B65">
      <w:rPr>
        <w:noProof/>
        <w:sz w:val="24"/>
      </w:rPr>
      <w:fldChar w:fldCharType="end"/>
    </w:r>
  </w:p>
  <w:p w:rsidR="00FD7B65" w:rsidRDefault="00941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690" w:rsidRDefault="005A5690" w:rsidP="00334272">
      <w:r>
        <w:separator/>
      </w:r>
    </w:p>
  </w:footnote>
  <w:footnote w:type="continuationSeparator" w:id="0">
    <w:p w:rsidR="005A5690" w:rsidRDefault="005A5690" w:rsidP="003342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1453A"/>
    <w:multiLevelType w:val="multilevel"/>
    <w:tmpl w:val="C0F2AF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272"/>
    <w:rsid w:val="000D38AC"/>
    <w:rsid w:val="002F11E6"/>
    <w:rsid w:val="00334272"/>
    <w:rsid w:val="00447CA5"/>
    <w:rsid w:val="004D44B5"/>
    <w:rsid w:val="005A5690"/>
    <w:rsid w:val="005B252A"/>
    <w:rsid w:val="005B2D82"/>
    <w:rsid w:val="0063422C"/>
    <w:rsid w:val="00640775"/>
    <w:rsid w:val="006D5629"/>
    <w:rsid w:val="00854835"/>
    <w:rsid w:val="00941000"/>
    <w:rsid w:val="00A216A6"/>
    <w:rsid w:val="00C33C13"/>
    <w:rsid w:val="00C44EBE"/>
    <w:rsid w:val="00D10FFE"/>
    <w:rsid w:val="00D363CD"/>
    <w:rsid w:val="00D924EE"/>
    <w:rsid w:val="00DC65B1"/>
    <w:rsid w:val="00EC2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2782E8B2-87ED-4928-87D7-859222268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272"/>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4272"/>
    <w:pPr>
      <w:tabs>
        <w:tab w:val="center" w:pos="4153"/>
        <w:tab w:val="right" w:pos="8306"/>
      </w:tabs>
    </w:pPr>
  </w:style>
  <w:style w:type="character" w:customStyle="1" w:styleId="FooterChar">
    <w:name w:val="Footer Char"/>
    <w:basedOn w:val="DefaultParagraphFont"/>
    <w:link w:val="Footer"/>
    <w:uiPriority w:val="99"/>
    <w:rsid w:val="00334272"/>
    <w:rPr>
      <w:rFonts w:ascii="Arial" w:eastAsia="Times New Roman" w:hAnsi="Arial" w:cs="Times New Roman"/>
      <w:szCs w:val="20"/>
      <w:lang w:eastAsia="en-GB"/>
    </w:rPr>
  </w:style>
  <w:style w:type="paragraph" w:styleId="ListParagraph">
    <w:name w:val="List Paragraph"/>
    <w:basedOn w:val="Normal"/>
    <w:uiPriority w:val="34"/>
    <w:qFormat/>
    <w:rsid w:val="00334272"/>
    <w:pPr>
      <w:spacing w:after="160" w:line="259" w:lineRule="auto"/>
      <w:ind w:left="720"/>
      <w:contextualSpacing/>
    </w:pPr>
    <w:rPr>
      <w:rFonts w:ascii="Calibri" w:eastAsia="Calibri" w:hAnsi="Calibri"/>
      <w:szCs w:val="22"/>
      <w:lang w:eastAsia="en-US"/>
    </w:rPr>
  </w:style>
  <w:style w:type="paragraph" w:styleId="Header">
    <w:name w:val="header"/>
    <w:basedOn w:val="Normal"/>
    <w:link w:val="HeaderChar"/>
    <w:uiPriority w:val="99"/>
    <w:unhideWhenUsed/>
    <w:rsid w:val="00334272"/>
    <w:pPr>
      <w:tabs>
        <w:tab w:val="center" w:pos="4513"/>
        <w:tab w:val="right" w:pos="9026"/>
      </w:tabs>
    </w:pPr>
  </w:style>
  <w:style w:type="character" w:customStyle="1" w:styleId="HeaderChar">
    <w:name w:val="Header Char"/>
    <w:basedOn w:val="DefaultParagraphFont"/>
    <w:link w:val="Header"/>
    <w:uiPriority w:val="99"/>
    <w:rsid w:val="00334272"/>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68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1251</Words>
  <Characters>7133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8368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Heap, Rebecca</dc:creator>
  <cp:keywords/>
  <dc:description/>
  <cp:lastModifiedBy>Houlker, Andy</cp:lastModifiedBy>
  <cp:revision>2</cp:revision>
  <dcterms:created xsi:type="dcterms:W3CDTF">2018-04-03T14:13:00Z</dcterms:created>
  <dcterms:modified xsi:type="dcterms:W3CDTF">2018-04-03T14:13:00Z</dcterms:modified>
</cp:coreProperties>
</file>